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Financial Review</w:t>
      </w:r>
    </w:p>
    <w:p>
      <w:r>
        <w:rPr>
          <w:color w:val="1FA2A6"/>
          <w:sz w:val="25"/>
        </w:rPr>
        <w:t>Annual Report 2025 – management report</w:t>
      </w:r>
    </w:p>
    <w:p>
      <w:pPr>
        <w:pBdr>
          <w:bottom w:val="single" w:sz="12" w:space="6" w:color="1FA2A6"/>
        </w:pBdr>
      </w:pPr>
      <w:r>
        <w:rPr>
          <w:color w:val="4A5A68"/>
          <w:sz w:val="18"/>
        </w:rPr>
        <w:t>Marcus Bell  ·  13 March 2026</w:t>
      </w:r>
    </w:p>
    <w:p>
      <w:pPr>
        <w:pStyle w:val="Heading1"/>
      </w:pPr>
      <w:r>
        <w:t>Results of operations</w:t>
      </w:r>
    </w:p>
    <w:p>
      <w:r>
        <w:t>Group revenue increased by 13 % to EUR 312 m (2024: EUR 276 m). Growth was driven by the first full year of Kestrel Ridge, higher volumes from the battery fleet and a full year of indexed CfD prices. EBITDA rose to EUR 148 m (2024: EUR 126 m), corresponding to a margin of 47.4 %.</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Revenue</w:t>
            </w:r>
          </w:p>
        </w:tc>
        <w:tc>
          <w:tcPr>
            <w:tcW w:type="dxa" w:w="2017"/>
          </w:tcPr>
          <w:p>
            <w:r/>
            <w:r>
              <w:rPr>
                <w:sz w:val="18"/>
              </w:rPr>
              <w:t>276.0</w:t>
            </w:r>
          </w:p>
        </w:tc>
        <w:tc>
          <w:tcPr>
            <w:tcW w:type="dxa" w:w="2017"/>
          </w:tcPr>
          <w:p>
            <w:r/>
            <w:r>
              <w:rPr>
                <w:sz w:val="18"/>
              </w:rPr>
              <w:t>312.0</w:t>
            </w:r>
          </w:p>
        </w:tc>
      </w:tr>
      <w:tr>
        <w:tc>
          <w:tcPr>
            <w:tcW w:type="dxa" w:w="5378"/>
            <w:shd w:val="clear" w:color="auto" w:fill="EEF3F6"/>
          </w:tcPr>
          <w:p>
            <w:r/>
            <w:r>
              <w:rPr>
                <w:sz w:val="18"/>
              </w:rPr>
              <w:t>Other operating income</w:t>
            </w:r>
          </w:p>
        </w:tc>
        <w:tc>
          <w:tcPr>
            <w:tcW w:type="dxa" w:w="2017"/>
            <w:shd w:val="clear" w:color="auto" w:fill="EEF3F6"/>
          </w:tcPr>
          <w:p>
            <w:r/>
            <w:r>
              <w:rPr>
                <w:sz w:val="18"/>
              </w:rPr>
              <w:t>5.0</w:t>
            </w:r>
          </w:p>
        </w:tc>
        <w:tc>
          <w:tcPr>
            <w:tcW w:type="dxa" w:w="2017"/>
            <w:shd w:val="clear" w:color="auto" w:fill="EEF3F6"/>
          </w:tcPr>
          <w:p>
            <w:r/>
            <w:r>
              <w:rPr>
                <w:sz w:val="18"/>
              </w:rPr>
              <w:t>6.0</w:t>
            </w:r>
          </w:p>
        </w:tc>
      </w:tr>
      <w:tr>
        <w:tc>
          <w:tcPr>
            <w:tcW w:type="dxa" w:w="5378"/>
          </w:tcPr>
          <w:p>
            <w:r/>
            <w:r>
              <w:rPr>
                <w:sz w:val="18"/>
              </w:rPr>
              <w:t>Cost of materials and O&amp;M services</w:t>
            </w:r>
          </w:p>
        </w:tc>
        <w:tc>
          <w:tcPr>
            <w:tcW w:type="dxa" w:w="2017"/>
          </w:tcPr>
          <w:p>
            <w:r/>
            <w:r>
              <w:rPr>
                <w:sz w:val="18"/>
              </w:rPr>
              <w:t>-56.0</w:t>
            </w:r>
          </w:p>
        </w:tc>
        <w:tc>
          <w:tcPr>
            <w:tcW w:type="dxa" w:w="2017"/>
          </w:tcPr>
          <w:p>
            <w:r/>
            <w:r>
              <w:rPr>
                <w:sz w:val="18"/>
              </w:rPr>
              <w:t>-61.0</w:t>
            </w:r>
          </w:p>
        </w:tc>
      </w:tr>
      <w:tr>
        <w:tc>
          <w:tcPr>
            <w:tcW w:type="dxa" w:w="5378"/>
            <w:shd w:val="clear" w:color="auto" w:fill="EEF3F6"/>
          </w:tcPr>
          <w:p>
            <w:r/>
            <w:r>
              <w:rPr>
                <w:sz w:val="18"/>
              </w:rPr>
              <w:t>Personnel expenses</w:t>
            </w:r>
          </w:p>
        </w:tc>
        <w:tc>
          <w:tcPr>
            <w:tcW w:type="dxa" w:w="2017"/>
            <w:shd w:val="clear" w:color="auto" w:fill="EEF3F6"/>
          </w:tcPr>
          <w:p>
            <w:r/>
            <w:r>
              <w:rPr>
                <w:sz w:val="18"/>
              </w:rPr>
              <w:t>-52.0</w:t>
            </w:r>
          </w:p>
        </w:tc>
        <w:tc>
          <w:tcPr>
            <w:tcW w:type="dxa" w:w="2017"/>
            <w:shd w:val="clear" w:color="auto" w:fill="EEF3F6"/>
          </w:tcPr>
          <w:p>
            <w:r/>
            <w:r>
              <w:rPr>
                <w:sz w:val="18"/>
              </w:rPr>
              <w:t>-58.0</w:t>
            </w:r>
          </w:p>
        </w:tc>
      </w:tr>
      <w:tr>
        <w:tc>
          <w:tcPr>
            <w:tcW w:type="dxa" w:w="5378"/>
          </w:tcPr>
          <w:p>
            <w:r/>
            <w:r>
              <w:rPr>
                <w:sz w:val="18"/>
              </w:rPr>
              <w:t>Other operating expenses</w:t>
            </w:r>
          </w:p>
        </w:tc>
        <w:tc>
          <w:tcPr>
            <w:tcW w:type="dxa" w:w="2017"/>
          </w:tcPr>
          <w:p>
            <w:r/>
            <w:r>
              <w:rPr>
                <w:sz w:val="18"/>
              </w:rPr>
              <w:t>-47.0</w:t>
            </w:r>
          </w:p>
        </w:tc>
        <w:tc>
          <w:tcPr>
            <w:tcW w:type="dxa" w:w="2017"/>
          </w:tcPr>
          <w:p>
            <w:r/>
            <w:r>
              <w:rPr>
                <w:sz w:val="18"/>
              </w:rPr>
              <w:t>-51.0</w:t>
            </w:r>
          </w:p>
        </w:tc>
      </w:tr>
      <w:tr>
        <w:tc>
          <w:tcPr>
            <w:tcW w:type="dxa" w:w="5378"/>
            <w:shd w:val="clear" w:color="auto" w:fill="EEF3F6"/>
          </w:tcPr>
          <w:p>
            <w:r/>
            <w:r>
              <w:rPr>
                <w:sz w:val="18"/>
              </w:rPr>
              <w:t>EBITDA</w:t>
            </w:r>
          </w:p>
        </w:tc>
        <w:tc>
          <w:tcPr>
            <w:tcW w:type="dxa" w:w="2017"/>
            <w:shd w:val="clear" w:color="auto" w:fill="EEF3F6"/>
          </w:tcPr>
          <w:p>
            <w:r/>
            <w:r>
              <w:rPr>
                <w:sz w:val="18"/>
              </w:rPr>
              <w:t>126.0</w:t>
            </w:r>
          </w:p>
        </w:tc>
        <w:tc>
          <w:tcPr>
            <w:tcW w:type="dxa" w:w="2017"/>
            <w:shd w:val="clear" w:color="auto" w:fill="EEF3F6"/>
          </w:tcPr>
          <w:p>
            <w:r/>
            <w:r>
              <w:rPr>
                <w:sz w:val="18"/>
              </w:rPr>
              <w:t>148.0</w:t>
            </w:r>
          </w:p>
        </w:tc>
      </w:tr>
      <w:tr>
        <w:tc>
          <w:tcPr>
            <w:tcW w:type="dxa" w:w="5378"/>
          </w:tcPr>
          <w:p>
            <w:r/>
            <w:r>
              <w:rPr>
                <w:sz w:val="18"/>
              </w:rPr>
              <w:t>Depreciation and amortisation</w:t>
            </w:r>
          </w:p>
        </w:tc>
        <w:tc>
          <w:tcPr>
            <w:tcW w:type="dxa" w:w="2017"/>
          </w:tcPr>
          <w:p>
            <w:r/>
            <w:r>
              <w:rPr>
                <w:sz w:val="18"/>
              </w:rPr>
              <w:t>-80.0</w:t>
            </w:r>
          </w:p>
        </w:tc>
        <w:tc>
          <w:tcPr>
            <w:tcW w:type="dxa" w:w="2017"/>
          </w:tcPr>
          <w:p>
            <w:r/>
            <w:r>
              <w:rPr>
                <w:sz w:val="18"/>
              </w:rPr>
              <w:t>-84.0</w:t>
            </w:r>
          </w:p>
        </w:tc>
      </w:tr>
      <w:tr>
        <w:tc>
          <w:tcPr>
            <w:tcW w:type="dxa" w:w="5378"/>
            <w:shd w:val="clear" w:color="auto" w:fill="EEF3F6"/>
          </w:tcPr>
          <w:p>
            <w:r/>
            <w:r>
              <w:rPr>
                <w:sz w:val="18"/>
              </w:rPr>
              <w:t>EBIT</w:t>
            </w:r>
          </w:p>
        </w:tc>
        <w:tc>
          <w:tcPr>
            <w:tcW w:type="dxa" w:w="2017"/>
            <w:shd w:val="clear" w:color="auto" w:fill="EEF3F6"/>
          </w:tcPr>
          <w:p>
            <w:r/>
            <w:r>
              <w:rPr>
                <w:sz w:val="18"/>
              </w:rPr>
              <w:t>46.0</w:t>
            </w:r>
          </w:p>
        </w:tc>
        <w:tc>
          <w:tcPr>
            <w:tcW w:type="dxa" w:w="2017"/>
            <w:shd w:val="clear" w:color="auto" w:fill="EEF3F6"/>
          </w:tcPr>
          <w:p>
            <w:r/>
            <w:r>
              <w:rPr>
                <w:sz w:val="18"/>
              </w:rPr>
              <w:t>64.0</w:t>
            </w:r>
          </w:p>
        </w:tc>
      </w:tr>
      <w:tr>
        <w:tc>
          <w:tcPr>
            <w:tcW w:type="dxa" w:w="5378"/>
          </w:tcPr>
          <w:p>
            <w:r/>
            <w:r>
              <w:rPr>
                <w:sz w:val="18"/>
              </w:rPr>
              <w:t>Net finance costs</w:t>
            </w:r>
          </w:p>
        </w:tc>
        <w:tc>
          <w:tcPr>
            <w:tcW w:type="dxa" w:w="2017"/>
          </w:tcPr>
          <w:p>
            <w:r/>
            <w:r>
              <w:rPr>
                <w:sz w:val="18"/>
              </w:rPr>
              <w:t>-27.0</w:t>
            </w:r>
          </w:p>
        </w:tc>
        <w:tc>
          <w:tcPr>
            <w:tcW w:type="dxa" w:w="2017"/>
          </w:tcPr>
          <w:p>
            <w:r/>
            <w:r>
              <w:rPr>
                <w:sz w:val="18"/>
              </w:rPr>
              <w:t>-29.0</w:t>
            </w:r>
          </w:p>
        </w:tc>
      </w:tr>
      <w:tr>
        <w:tc>
          <w:tcPr>
            <w:tcW w:type="dxa" w:w="5378"/>
            <w:shd w:val="clear" w:color="auto" w:fill="EEF3F6"/>
          </w:tcPr>
          <w:p>
            <w:r/>
            <w:r>
              <w:rPr>
                <w:sz w:val="18"/>
              </w:rPr>
              <w:t>Earnings before tax</w:t>
            </w:r>
          </w:p>
        </w:tc>
        <w:tc>
          <w:tcPr>
            <w:tcW w:type="dxa" w:w="2017"/>
            <w:shd w:val="clear" w:color="auto" w:fill="EEF3F6"/>
          </w:tcPr>
          <w:p>
            <w:r/>
            <w:r>
              <w:rPr>
                <w:sz w:val="18"/>
              </w:rPr>
              <w:t>19.0</w:t>
            </w:r>
          </w:p>
        </w:tc>
        <w:tc>
          <w:tcPr>
            <w:tcW w:type="dxa" w:w="2017"/>
            <w:shd w:val="clear" w:color="auto" w:fill="EEF3F6"/>
          </w:tcPr>
          <w:p>
            <w:r/>
            <w:r>
              <w:rPr>
                <w:sz w:val="18"/>
              </w:rPr>
              <w:t>35.0</w:t>
            </w:r>
          </w:p>
        </w:tc>
      </w:tr>
      <w:tr>
        <w:tc>
          <w:tcPr>
            <w:tcW w:type="dxa" w:w="5378"/>
          </w:tcPr>
          <w:p>
            <w:r/>
            <w:r>
              <w:rPr>
                <w:sz w:val="18"/>
              </w:rPr>
              <w:t>Income taxes</w:t>
            </w:r>
          </w:p>
        </w:tc>
        <w:tc>
          <w:tcPr>
            <w:tcW w:type="dxa" w:w="2017"/>
          </w:tcPr>
          <w:p>
            <w:r/>
            <w:r>
              <w:rPr>
                <w:sz w:val="18"/>
              </w:rPr>
              <w:t>-5.0</w:t>
            </w:r>
          </w:p>
        </w:tc>
        <w:tc>
          <w:tcPr>
            <w:tcW w:type="dxa" w:w="2017"/>
          </w:tcPr>
          <w:p>
            <w:r/>
            <w:r>
              <w:rPr>
                <w:sz w:val="18"/>
              </w:rPr>
              <w:t>-10.0</w:t>
            </w:r>
          </w:p>
        </w:tc>
      </w:tr>
      <w:tr>
        <w:tc>
          <w:tcPr>
            <w:tcW w:type="dxa" w:w="5378"/>
            <w:shd w:val="clear" w:color="auto" w:fill="EEF3F6"/>
          </w:tcPr>
          <w:p>
            <w:r/>
            <w:r>
              <w:rPr>
                <w:sz w:val="18"/>
              </w:rPr>
              <w:t>Net income</w:t>
            </w:r>
          </w:p>
        </w:tc>
        <w:tc>
          <w:tcPr>
            <w:tcW w:type="dxa" w:w="2017"/>
            <w:shd w:val="clear" w:color="auto" w:fill="EEF3F6"/>
          </w:tcPr>
          <w:p>
            <w:r/>
            <w:r>
              <w:rPr>
                <w:sz w:val="18"/>
              </w:rPr>
              <w:t>14.0</w:t>
            </w:r>
          </w:p>
        </w:tc>
        <w:tc>
          <w:tcPr>
            <w:tcW w:type="dxa" w:w="2017"/>
            <w:shd w:val="clear" w:color="auto" w:fill="EEF3F6"/>
          </w:tcPr>
          <w:p>
            <w:r/>
            <w:r>
              <w:rPr>
                <w:sz w:val="18"/>
              </w:rPr>
              <w:t>25.0</w:t>
            </w:r>
          </w:p>
        </w:tc>
      </w:tr>
    </w:tbl>
    <w:p/>
    <w:p>
      <w:pPr>
        <w:pStyle w:val="Heading1"/>
      </w:pPr>
      <w:r>
        <w:t>Revenue by stream</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Electricity sales (merchant and PPA)</w:t>
            </w:r>
          </w:p>
        </w:tc>
        <w:tc>
          <w:tcPr>
            <w:tcW w:type="dxa" w:w="2017"/>
          </w:tcPr>
          <w:p>
            <w:r/>
            <w:r>
              <w:rPr>
                <w:sz w:val="18"/>
              </w:rPr>
              <w:t>214.0</w:t>
            </w:r>
          </w:p>
        </w:tc>
        <w:tc>
          <w:tcPr>
            <w:tcW w:type="dxa" w:w="2017"/>
          </w:tcPr>
          <w:p>
            <w:r/>
            <w:r>
              <w:rPr>
                <w:sz w:val="18"/>
              </w:rPr>
              <w:t>241.0</w:t>
            </w:r>
          </w:p>
        </w:tc>
      </w:tr>
      <w:tr>
        <w:tc>
          <w:tcPr>
            <w:tcW w:type="dxa" w:w="5378"/>
            <w:shd w:val="clear" w:color="auto" w:fill="EEF3F6"/>
          </w:tcPr>
          <w:p>
            <w:r/>
            <w:r>
              <w:rPr>
                <w:sz w:val="18"/>
              </w:rPr>
              <w:t>Contracts for difference / feed-in support</w:t>
            </w:r>
          </w:p>
        </w:tc>
        <w:tc>
          <w:tcPr>
            <w:tcW w:type="dxa" w:w="2017"/>
            <w:shd w:val="clear" w:color="auto" w:fill="EEF3F6"/>
          </w:tcPr>
          <w:p>
            <w:r/>
            <w:r>
              <w:rPr>
                <w:sz w:val="18"/>
              </w:rPr>
              <w:t>34.0</w:t>
            </w:r>
          </w:p>
        </w:tc>
        <w:tc>
          <w:tcPr>
            <w:tcW w:type="dxa" w:w="2017"/>
            <w:shd w:val="clear" w:color="auto" w:fill="EEF3F6"/>
          </w:tcPr>
          <w:p>
            <w:r/>
            <w:r>
              <w:rPr>
                <w:sz w:val="18"/>
              </w:rPr>
              <w:t>38.0</w:t>
            </w:r>
          </w:p>
        </w:tc>
      </w:tr>
      <w:tr>
        <w:tc>
          <w:tcPr>
            <w:tcW w:type="dxa" w:w="5378"/>
          </w:tcPr>
          <w:p>
            <w:r/>
            <w:r>
              <w:rPr>
                <w:sz w:val="18"/>
              </w:rPr>
              <w:t>Guarantees of origin and REGOs</w:t>
            </w:r>
          </w:p>
        </w:tc>
        <w:tc>
          <w:tcPr>
            <w:tcW w:type="dxa" w:w="2017"/>
          </w:tcPr>
          <w:p>
            <w:r/>
            <w:r>
              <w:rPr>
                <w:sz w:val="18"/>
              </w:rPr>
              <w:t>14.0</w:t>
            </w:r>
          </w:p>
        </w:tc>
        <w:tc>
          <w:tcPr>
            <w:tcW w:type="dxa" w:w="2017"/>
          </w:tcPr>
          <w:p>
            <w:r/>
            <w:r>
              <w:rPr>
                <w:sz w:val="18"/>
              </w:rPr>
              <w:t>17.0</w:t>
            </w:r>
          </w:p>
        </w:tc>
      </w:tr>
      <w:tr>
        <w:tc>
          <w:tcPr>
            <w:tcW w:type="dxa" w:w="5378"/>
            <w:shd w:val="clear" w:color="auto" w:fill="EEF3F6"/>
          </w:tcPr>
          <w:p>
            <w:r/>
            <w:r>
              <w:rPr>
                <w:sz w:val="18"/>
              </w:rPr>
              <w:t>Asset management and O&amp;M services for third parties</w:t>
            </w:r>
          </w:p>
        </w:tc>
        <w:tc>
          <w:tcPr>
            <w:tcW w:type="dxa" w:w="2017"/>
            <w:shd w:val="clear" w:color="auto" w:fill="EEF3F6"/>
          </w:tcPr>
          <w:p>
            <w:r/>
            <w:r>
              <w:rPr>
                <w:sz w:val="18"/>
              </w:rPr>
              <w:t>9.0</w:t>
            </w:r>
          </w:p>
        </w:tc>
        <w:tc>
          <w:tcPr>
            <w:tcW w:type="dxa" w:w="2017"/>
            <w:shd w:val="clear" w:color="auto" w:fill="EEF3F6"/>
          </w:tcPr>
          <w:p>
            <w:r/>
            <w:r>
              <w:rPr>
                <w:sz w:val="18"/>
              </w:rPr>
              <w:t>11.0</w:t>
            </w:r>
          </w:p>
        </w:tc>
      </w:tr>
      <w:tr>
        <w:tc>
          <w:tcPr>
            <w:tcW w:type="dxa" w:w="5378"/>
          </w:tcPr>
          <w:p>
            <w:r/>
            <w:r>
              <w:rPr>
                <w:sz w:val="18"/>
              </w:rPr>
              <w:t>Other revenue</w:t>
            </w:r>
          </w:p>
        </w:tc>
        <w:tc>
          <w:tcPr>
            <w:tcW w:type="dxa" w:w="2017"/>
          </w:tcPr>
          <w:p>
            <w:r/>
            <w:r>
              <w:rPr>
                <w:sz w:val="18"/>
              </w:rPr>
              <w:t>5.0</w:t>
            </w:r>
          </w:p>
        </w:tc>
        <w:tc>
          <w:tcPr>
            <w:tcW w:type="dxa" w:w="2017"/>
          </w:tcPr>
          <w:p>
            <w:r/>
            <w:r>
              <w:rPr>
                <w:sz w:val="18"/>
              </w:rPr>
              <w:t>5.0</w:t>
            </w:r>
          </w:p>
        </w:tc>
      </w:tr>
    </w:tbl>
    <w:p/>
    <w:p>
      <w:pPr>
        <w:pStyle w:val="Heading1"/>
      </w:pPr>
      <w:r>
        <w:t>Financial position</w:t>
      </w:r>
    </w:p>
    <w:p>
      <w:r>
        <w:t>Total assets increased to EUR 2,470 m (2024: EUR 2,115 m), mainly due to assets under construction for Harrow Bay (EUR 610 m, 2024: EUR 318 m). Equity rose to EUR 820 m following capital increases of EUR 210 m; the equity ratio was 33.2 %. Net debt was EUR 1,104 m.</w:t>
      </w:r>
    </w:p>
    <w:p>
      <w:pPr>
        <w:pStyle w:val="Heading1"/>
      </w:pPr>
      <w:r>
        <w:t>Cash flows</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EBITDA</w:t>
            </w:r>
          </w:p>
        </w:tc>
        <w:tc>
          <w:tcPr>
            <w:tcW w:type="dxa" w:w="2017"/>
          </w:tcPr>
          <w:p>
            <w:r/>
            <w:r>
              <w:rPr>
                <w:sz w:val="18"/>
              </w:rPr>
              <w:t>126.0</w:t>
            </w:r>
          </w:p>
        </w:tc>
        <w:tc>
          <w:tcPr>
            <w:tcW w:type="dxa" w:w="2017"/>
          </w:tcPr>
          <w:p>
            <w:r/>
            <w:r>
              <w:rPr>
                <w:sz w:val="18"/>
              </w:rPr>
              <w:t>148.0</w:t>
            </w:r>
          </w:p>
        </w:tc>
      </w:tr>
      <w:tr>
        <w:tc>
          <w:tcPr>
            <w:tcW w:type="dxa" w:w="5378"/>
            <w:shd w:val="clear" w:color="auto" w:fill="EEF3F6"/>
          </w:tcPr>
          <w:p>
            <w:r/>
            <w:r>
              <w:rPr>
                <w:sz w:val="18"/>
              </w:rPr>
              <w:t>Change in working capital</w:t>
            </w:r>
          </w:p>
        </w:tc>
        <w:tc>
          <w:tcPr>
            <w:tcW w:type="dxa" w:w="2017"/>
            <w:shd w:val="clear" w:color="auto" w:fill="EEF3F6"/>
          </w:tcPr>
          <w:p>
            <w:r/>
            <w:r>
              <w:rPr>
                <w:sz w:val="18"/>
              </w:rPr>
              <w:t>-4.0</w:t>
            </w:r>
          </w:p>
        </w:tc>
        <w:tc>
          <w:tcPr>
            <w:tcW w:type="dxa" w:w="2017"/>
            <w:shd w:val="clear" w:color="auto" w:fill="EEF3F6"/>
          </w:tcPr>
          <w:p>
            <w:r/>
            <w:r>
              <w:rPr>
                <w:sz w:val="18"/>
              </w:rPr>
              <w:t>-3.0</w:t>
            </w:r>
          </w:p>
        </w:tc>
      </w:tr>
      <w:tr>
        <w:tc>
          <w:tcPr>
            <w:tcW w:type="dxa" w:w="5378"/>
          </w:tcPr>
          <w:p>
            <w:r/>
            <w:r>
              <w:rPr>
                <w:sz w:val="18"/>
              </w:rPr>
              <w:t>Income taxes paid</w:t>
            </w:r>
          </w:p>
        </w:tc>
        <w:tc>
          <w:tcPr>
            <w:tcW w:type="dxa" w:w="2017"/>
          </w:tcPr>
          <w:p>
            <w:r/>
            <w:r>
              <w:rPr>
                <w:sz w:val="18"/>
              </w:rPr>
              <w:t>-6.0</w:t>
            </w:r>
          </w:p>
        </w:tc>
        <w:tc>
          <w:tcPr>
            <w:tcW w:type="dxa" w:w="2017"/>
          </w:tcPr>
          <w:p>
            <w:r/>
            <w:r>
              <w:rPr>
                <w:sz w:val="18"/>
              </w:rPr>
              <w:t>-8.0</w:t>
            </w:r>
          </w:p>
        </w:tc>
      </w:tr>
      <w:tr>
        <w:tc>
          <w:tcPr>
            <w:tcW w:type="dxa" w:w="5378"/>
            <w:shd w:val="clear" w:color="auto" w:fill="EEF3F6"/>
          </w:tcPr>
          <w:p>
            <w:r/>
            <w:r>
              <w:rPr>
                <w:sz w:val="18"/>
              </w:rPr>
              <w:t>Other non-cash items</w:t>
            </w:r>
          </w:p>
        </w:tc>
        <w:tc>
          <w:tcPr>
            <w:tcW w:type="dxa" w:w="2017"/>
            <w:shd w:val="clear" w:color="auto" w:fill="EEF3F6"/>
          </w:tcPr>
          <w:p>
            <w:r/>
            <w:r>
              <w:rPr>
                <w:sz w:val="18"/>
              </w:rPr>
              <w:t>-3.0</w:t>
            </w:r>
          </w:p>
        </w:tc>
        <w:tc>
          <w:tcPr>
            <w:tcW w:type="dxa" w:w="2017"/>
            <w:shd w:val="clear" w:color="auto" w:fill="EEF3F6"/>
          </w:tcPr>
          <w:p>
            <w:r/>
            <w:r>
              <w:rPr>
                <w:sz w:val="18"/>
              </w:rPr>
              <w:t>-6.0</w:t>
            </w:r>
          </w:p>
        </w:tc>
      </w:tr>
      <w:tr>
        <w:tc>
          <w:tcPr>
            <w:tcW w:type="dxa" w:w="5378"/>
          </w:tcPr>
          <w:p>
            <w:r/>
            <w:r>
              <w:rPr>
                <w:sz w:val="18"/>
              </w:rPr>
              <w:t>Cash flow from operating activities</w:t>
            </w:r>
          </w:p>
        </w:tc>
        <w:tc>
          <w:tcPr>
            <w:tcW w:type="dxa" w:w="2017"/>
          </w:tcPr>
          <w:p>
            <w:r/>
            <w:r>
              <w:rPr>
                <w:sz w:val="18"/>
              </w:rPr>
              <w:t>113.0</w:t>
            </w:r>
          </w:p>
        </w:tc>
        <w:tc>
          <w:tcPr>
            <w:tcW w:type="dxa" w:w="2017"/>
          </w:tcPr>
          <w:p>
            <w:r/>
            <w:r>
              <w:rPr>
                <w:sz w:val="18"/>
              </w:rPr>
              <w:t>131.0</w:t>
            </w:r>
          </w:p>
        </w:tc>
      </w:tr>
      <w:tr>
        <w:tc>
          <w:tcPr>
            <w:tcW w:type="dxa" w:w="5378"/>
            <w:shd w:val="clear" w:color="auto" w:fill="EEF3F6"/>
          </w:tcPr>
          <w:p>
            <w:r/>
            <w:r>
              <w:rPr>
                <w:sz w:val="18"/>
              </w:rPr>
              <w:t>Capital expenditure (incl. Harrow Bay pre-FID)</w:t>
            </w:r>
          </w:p>
        </w:tc>
        <w:tc>
          <w:tcPr>
            <w:tcW w:type="dxa" w:w="2017"/>
            <w:shd w:val="clear" w:color="auto" w:fill="EEF3F6"/>
          </w:tcPr>
          <w:p>
            <w:r/>
            <w:r>
              <w:rPr>
                <w:sz w:val="18"/>
              </w:rPr>
              <w:t>-248.0</w:t>
            </w:r>
          </w:p>
        </w:tc>
        <w:tc>
          <w:tcPr>
            <w:tcW w:type="dxa" w:w="2017"/>
            <w:shd w:val="clear" w:color="auto" w:fill="EEF3F6"/>
          </w:tcPr>
          <w:p>
            <w:r/>
            <w:r>
              <w:rPr>
                <w:sz w:val="18"/>
              </w:rPr>
              <w:t>-398.0</w:t>
            </w:r>
          </w:p>
        </w:tc>
      </w:tr>
      <w:tr>
        <w:tc>
          <w:tcPr>
            <w:tcW w:type="dxa" w:w="5378"/>
          </w:tcPr>
          <w:p>
            <w:r/>
            <w:r>
              <w:rPr>
                <w:sz w:val="18"/>
              </w:rPr>
              <w:t>Development spend and other investments</w:t>
            </w:r>
          </w:p>
        </w:tc>
        <w:tc>
          <w:tcPr>
            <w:tcW w:type="dxa" w:w="2017"/>
          </w:tcPr>
          <w:p>
            <w:r/>
            <w:r>
              <w:rPr>
                <w:sz w:val="18"/>
              </w:rPr>
              <w:t>-18.0</w:t>
            </w:r>
          </w:p>
        </w:tc>
        <w:tc>
          <w:tcPr>
            <w:tcW w:type="dxa" w:w="2017"/>
          </w:tcPr>
          <w:p>
            <w:r/>
            <w:r>
              <w:rPr>
                <w:sz w:val="18"/>
              </w:rPr>
              <w:t>-14.0</w:t>
            </w:r>
          </w:p>
        </w:tc>
      </w:tr>
      <w:tr>
        <w:tc>
          <w:tcPr>
            <w:tcW w:type="dxa" w:w="5378"/>
            <w:shd w:val="clear" w:color="auto" w:fill="EEF3F6"/>
          </w:tcPr>
          <w:p>
            <w:r/>
            <w:r>
              <w:rPr>
                <w:sz w:val="18"/>
              </w:rPr>
              <w:t>Cash flow from investing activities</w:t>
            </w:r>
          </w:p>
        </w:tc>
        <w:tc>
          <w:tcPr>
            <w:tcW w:type="dxa" w:w="2017"/>
            <w:shd w:val="clear" w:color="auto" w:fill="EEF3F6"/>
          </w:tcPr>
          <w:p>
            <w:r/>
            <w:r>
              <w:rPr>
                <w:sz w:val="18"/>
              </w:rPr>
              <w:t>-266.0</w:t>
            </w:r>
          </w:p>
        </w:tc>
        <w:tc>
          <w:tcPr>
            <w:tcW w:type="dxa" w:w="2017"/>
            <w:shd w:val="clear" w:color="auto" w:fill="EEF3F6"/>
          </w:tcPr>
          <w:p>
            <w:r/>
            <w:r>
              <w:rPr>
                <w:sz w:val="18"/>
              </w:rPr>
              <w:t>-412.0</w:t>
            </w:r>
          </w:p>
        </w:tc>
      </w:tr>
      <w:tr>
        <w:tc>
          <w:tcPr>
            <w:tcW w:type="dxa" w:w="5378"/>
          </w:tcPr>
          <w:p>
            <w:r/>
            <w:r>
              <w:rPr>
                <w:sz w:val="18"/>
              </w:rPr>
              <w:t>Equity contribution from shareholders</w:t>
            </w:r>
          </w:p>
        </w:tc>
        <w:tc>
          <w:tcPr>
            <w:tcW w:type="dxa" w:w="2017"/>
          </w:tcPr>
          <w:p>
            <w:r/>
            <w:r>
              <w:rPr>
                <w:sz w:val="18"/>
              </w:rPr>
              <w:t>0.0</w:t>
            </w:r>
          </w:p>
        </w:tc>
        <w:tc>
          <w:tcPr>
            <w:tcW w:type="dxa" w:w="2017"/>
          </w:tcPr>
          <w:p>
            <w:r/>
            <w:r>
              <w:rPr>
                <w:sz w:val="18"/>
              </w:rPr>
              <w:t>210.0</w:t>
            </w:r>
          </w:p>
        </w:tc>
      </w:tr>
      <w:tr>
        <w:tc>
          <w:tcPr>
            <w:tcW w:type="dxa" w:w="5378"/>
            <w:shd w:val="clear" w:color="auto" w:fill="EEF3F6"/>
          </w:tcPr>
          <w:p>
            <w:r/>
            <w:r>
              <w:rPr>
                <w:sz w:val="18"/>
              </w:rPr>
              <w:t>Drawdown / (repayment) of borrowings, net</w:t>
            </w:r>
          </w:p>
        </w:tc>
        <w:tc>
          <w:tcPr>
            <w:tcW w:type="dxa" w:w="2017"/>
            <w:shd w:val="clear" w:color="auto" w:fill="EEF3F6"/>
          </w:tcPr>
          <w:p>
            <w:r/>
            <w:r>
              <w:rPr>
                <w:sz w:val="18"/>
              </w:rPr>
              <w:t>151.0</w:t>
            </w:r>
          </w:p>
        </w:tc>
        <w:tc>
          <w:tcPr>
            <w:tcW w:type="dxa" w:w="2017"/>
            <w:shd w:val="clear" w:color="auto" w:fill="EEF3F6"/>
          </w:tcPr>
          <w:p>
            <w:r/>
            <w:r>
              <w:rPr>
                <w:sz w:val="18"/>
              </w:rPr>
              <w:t>120.0</w:t>
            </w:r>
          </w:p>
        </w:tc>
      </w:tr>
      <w:tr>
        <w:tc>
          <w:tcPr>
            <w:tcW w:type="dxa" w:w="5378"/>
          </w:tcPr>
          <w:p>
            <w:r/>
            <w:r>
              <w:rPr>
                <w:sz w:val="18"/>
              </w:rPr>
              <w:t>Interest paid</w:t>
            </w:r>
          </w:p>
        </w:tc>
        <w:tc>
          <w:tcPr>
            <w:tcW w:type="dxa" w:w="2017"/>
          </w:tcPr>
          <w:p>
            <w:r/>
            <w:r>
              <w:rPr>
                <w:sz w:val="18"/>
              </w:rPr>
              <w:t>-26.0</w:t>
            </w:r>
          </w:p>
        </w:tc>
        <w:tc>
          <w:tcPr>
            <w:tcW w:type="dxa" w:w="2017"/>
          </w:tcPr>
          <w:p>
            <w:r/>
            <w:r>
              <w:rPr>
                <w:sz w:val="18"/>
              </w:rPr>
              <w:t>-28.0</w:t>
            </w:r>
          </w:p>
        </w:tc>
      </w:tr>
      <w:tr>
        <w:tc>
          <w:tcPr>
            <w:tcW w:type="dxa" w:w="5378"/>
            <w:shd w:val="clear" w:color="auto" w:fill="EEF3F6"/>
          </w:tcPr>
          <w:p>
            <w:r/>
            <w:r>
              <w:rPr>
                <w:sz w:val="18"/>
              </w:rPr>
              <w:t>Dividends and other</w:t>
            </w:r>
          </w:p>
        </w:tc>
        <w:tc>
          <w:tcPr>
            <w:tcW w:type="dxa" w:w="2017"/>
            <w:shd w:val="clear" w:color="auto" w:fill="EEF3F6"/>
          </w:tcPr>
          <w:p>
            <w:r/>
            <w:r>
              <w:rPr>
                <w:sz w:val="18"/>
              </w:rPr>
              <w:t>0.0</w:t>
            </w:r>
          </w:p>
        </w:tc>
        <w:tc>
          <w:tcPr>
            <w:tcW w:type="dxa" w:w="2017"/>
            <w:shd w:val="clear" w:color="auto" w:fill="EEF3F6"/>
          </w:tcPr>
          <w:p>
            <w:r/>
            <w:r>
              <w:rPr>
                <w:sz w:val="18"/>
              </w:rPr>
              <w:t>-4.0</w:t>
            </w:r>
          </w:p>
        </w:tc>
      </w:tr>
      <w:tr>
        <w:tc>
          <w:tcPr>
            <w:tcW w:type="dxa" w:w="5378"/>
          </w:tcPr>
          <w:p>
            <w:r/>
            <w:r>
              <w:rPr>
                <w:sz w:val="18"/>
              </w:rPr>
              <w:t>Cash flow from financing activities</w:t>
            </w:r>
          </w:p>
        </w:tc>
        <w:tc>
          <w:tcPr>
            <w:tcW w:type="dxa" w:w="2017"/>
          </w:tcPr>
          <w:p>
            <w:r/>
            <w:r>
              <w:rPr>
                <w:sz w:val="18"/>
              </w:rPr>
              <w:t>125.0</w:t>
            </w:r>
          </w:p>
        </w:tc>
        <w:tc>
          <w:tcPr>
            <w:tcW w:type="dxa" w:w="2017"/>
          </w:tcPr>
          <w:p>
            <w:r/>
            <w:r>
              <w:rPr>
                <w:sz w:val="18"/>
              </w:rPr>
              <w:t>298.0</w:t>
            </w:r>
          </w:p>
        </w:tc>
      </w:tr>
      <w:tr>
        <w:tc>
          <w:tcPr>
            <w:tcW w:type="dxa" w:w="5378"/>
            <w:shd w:val="clear" w:color="auto" w:fill="EEF3F6"/>
          </w:tcPr>
          <w:p>
            <w:r/>
            <w:r>
              <w:rPr>
                <w:sz w:val="18"/>
              </w:rPr>
              <w:t>Net change in cash</w:t>
            </w:r>
          </w:p>
        </w:tc>
        <w:tc>
          <w:tcPr>
            <w:tcW w:type="dxa" w:w="2017"/>
            <w:shd w:val="clear" w:color="auto" w:fill="EEF3F6"/>
          </w:tcPr>
          <w:p>
            <w:r/>
            <w:r>
              <w:rPr>
                <w:sz w:val="18"/>
              </w:rPr>
              <w:t>-28.0</w:t>
            </w:r>
          </w:p>
        </w:tc>
        <w:tc>
          <w:tcPr>
            <w:tcW w:type="dxa" w:w="2017"/>
            <w:shd w:val="clear" w:color="auto" w:fill="EEF3F6"/>
          </w:tcPr>
          <w:p>
            <w:r/>
            <w:r>
              <w:rPr>
                <w:sz w:val="18"/>
              </w:rPr>
              <w:t>17.0</w:t>
            </w:r>
          </w:p>
        </w:tc>
      </w:tr>
      <w:tr>
        <w:tc>
          <w:tcPr>
            <w:tcW w:type="dxa" w:w="5378"/>
          </w:tcPr>
          <w:p>
            <w:r/>
            <w:r>
              <w:rPr>
                <w:sz w:val="18"/>
              </w:rPr>
              <w:t>Cash at 1 January</w:t>
            </w:r>
          </w:p>
        </w:tc>
        <w:tc>
          <w:tcPr>
            <w:tcW w:type="dxa" w:w="2017"/>
          </w:tcPr>
          <w:p>
            <w:r/>
            <w:r>
              <w:rPr>
                <w:sz w:val="18"/>
              </w:rPr>
              <w:t>197.0</w:t>
            </w:r>
          </w:p>
        </w:tc>
        <w:tc>
          <w:tcPr>
            <w:tcW w:type="dxa" w:w="2017"/>
          </w:tcPr>
          <w:p>
            <w:r/>
            <w:r>
              <w:rPr>
                <w:sz w:val="18"/>
              </w:rPr>
              <w:t>169.0</w:t>
            </w:r>
          </w:p>
        </w:tc>
      </w:tr>
      <w:tr>
        <w:tc>
          <w:tcPr>
            <w:tcW w:type="dxa" w:w="5378"/>
            <w:shd w:val="clear" w:color="auto" w:fill="EEF3F6"/>
          </w:tcPr>
          <w:p>
            <w:r/>
            <w:r>
              <w:rPr>
                <w:sz w:val="18"/>
              </w:rPr>
              <w:t>Cash at 31 December</w:t>
            </w:r>
          </w:p>
        </w:tc>
        <w:tc>
          <w:tcPr>
            <w:tcW w:type="dxa" w:w="2017"/>
            <w:shd w:val="clear" w:color="auto" w:fill="EEF3F6"/>
          </w:tcPr>
          <w:p>
            <w:r/>
            <w:r>
              <w:rPr>
                <w:sz w:val="18"/>
              </w:rPr>
              <w:t>169.0</w:t>
            </w:r>
          </w:p>
        </w:tc>
        <w:tc>
          <w:tcPr>
            <w:tcW w:type="dxa" w:w="2017"/>
            <w:shd w:val="clear" w:color="auto" w:fill="EEF3F6"/>
          </w:tcPr>
          <w:p>
            <w:r/>
            <w:r>
              <w:rPr>
                <w:sz w:val="18"/>
              </w:rPr>
              <w:t>186.0</w:t>
            </w:r>
          </w:p>
        </w:tc>
      </w:tr>
    </w:tbl>
    <w:p/>
    <w:p>
      <w:pPr>
        <w:pStyle w:val="Heading1"/>
      </w:pPr>
      <w:r>
        <w:t>Subsequent events</w:t>
      </w:r>
    </w:p>
    <w:p>
      <w:r>
        <w:t>On 14 January 2026 turbine T-07 at Kestrel Ridge suffered a gearbox bearing failure (KR-INC-2026-003); the gearbox was exchanged under warranty. On 12 February 2026 the final investment decision for Harrow Bay was taken and financial close on EUR 1.1 bn of senior debt was reached; shareholders subscribed a further capital increase of EUR 140 m.</w:t>
      </w:r>
    </w:p>
    <w:p>
      <w:pPr>
        <w:pStyle w:val="Heading1"/>
      </w:pPr>
      <w:r>
        <w:t>Outlook 2026</w:t>
      </w:r>
    </w:p>
    <w:p>
      <w:r>
        <w:t>For 2026 we expect revenue between EUR 330 m and EUR 338 m and EBITDA between EUR 150 m and EUR 158 m, assuming average wind and solar resources. Capital expenditure will rise to around EUR 640 m, mainly for Harrow Bay.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Financial Review</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 until 26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Review</dc:title>
  <dc:subject>Annual Report 2025 – management report</dc:subject>
  <dc:creator>Marcus Bell</dc:creator>
  <cp:keywords>approved</cp:keywords>
  <dc:description>generated by python-docx</dc:description>
  <cp:lastModifiedBy>Marcus Bell</cp:lastModifiedBy>
  <cp:revision>1</cp:revision>
  <dcterms:created xsi:type="dcterms:W3CDTF">2026-02-02T10:00:00Z</dcterms:created>
  <dcterms:modified xsi:type="dcterms:W3CDTF">2026-03-13T18:05:00Z</dcterms:modified>
  <cp:category/>
</cp:coreProperties>
</file>