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Weyland reports record year 2025 and launches Strategy 2030</w:t>
      </w:r>
    </w:p>
    <w:p>
      <w:r>
        <w:rPr>
          <w:color w:val="1FA2A6"/>
          <w:sz w:val="25"/>
        </w:rPr>
        <w:t>Revenue +13 % to EUR 312 m · EBITDA EUR 148 m · 1.2 million tonnes of CO₂ avoided</w:t>
      </w:r>
    </w:p>
    <w:p>
      <w:pPr>
        <w:pBdr>
          <w:bottom w:val="single" w:sz="12" w:space="6" w:color="1FA2A6"/>
        </w:pBdr>
      </w:pPr>
      <w:r>
        <w:rPr>
          <w:color w:val="4A5A68"/>
          <w:sz w:val="18"/>
        </w:rPr>
        <w:t>Noah Fischer  ·  26 March 2026</w:t>
      </w:r>
    </w:p>
    <w:p>
      <w:r>
        <w:rPr>
          <w:b/>
        </w:rPr>
        <w:t>Hamburg, 26 March 2026</w:t>
      </w:r>
      <w:r>
        <w:t xml:space="preserve"> – Weyland Energy today published its Annual Report 2025. Revenue rose by 13 % to EUR 312 m and EBITDA by 17 % to EUR 148 m. The company's wind, solar and storage assets generated 2,860 GWh of renewable electricity and avoided 1.2 million tonnes of CO₂.</w:t>
      </w:r>
    </w:p>
    <w:p>
      <w:r>
        <w:t>With the final investment decision for the 480 MW Harrow Bay Offshore Wind farm in February 2026 and the new Strategy 2030 "Clean power, built to last", Weyland aims to more than double its operating capacity to 2.5 GW and to reach revenue of around EUR 600 m by 2030.</w:t>
      </w:r>
    </w:p>
    <w:p>
      <w:r>
        <w:t>"2025 was the best year in our history – and the year in which we prepared our biggest step," said Dr. Amara Okafor, CEO. Jonas Richter, CFO, added: "Our strong cash flow and the support of our shareholders and banks give us a solid basis for Harrow Bay."</w:t>
      </w:r>
    </w:p>
    <w:p>
      <w:r>
        <w:t>The Annual Report 2025 is available at www.weyland-energy.example/annual-report.</w:t>
      </w:r>
    </w:p>
    <w:p>
      <w:r>
        <w:t>Media contact: Noah Fischer, press@weyland-energy.example</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Weyland reports record year 2025 and launches Strategy 2030</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Weyland reports record year 2025 and launches Strategy 2030</dc:title>
  <dc:subject>Revenue +13 % to EUR 312 m · EBITDA EUR 148 m · 1.2 million tonnes of CO₂ avoided</dc:subject>
  <dc:creator>Noah Fischer</dc:creator>
  <cp:keywords>external, approved</cp:keywords>
  <dc:description>generated by python-docx</dc:description>
  <cp:lastModifiedBy>Noah Fischer</cp:lastModifiedBy>
  <cp:revision>1</cp:revision>
  <dcterms:created xsi:type="dcterms:W3CDTF">2026-03-18T10:00:00Z</dcterms:created>
  <dcterms:modified xsi:type="dcterms:W3CDTF">2026-03-26T07:30:00Z</dcterms:modified>
  <cp:category/>
</cp:coreProperties>
</file>