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O&amp;M Base Requirements – Port of Eastholm</w:t>
      </w:r>
    </w:p>
    <w:p>
      <w:r>
        <w:rPr>
          <w:color w:val="1FA2A6"/>
          <w:sz w:val="25"/>
        </w:rPr>
        <w:t>Harrow Bay Offshore Wind</w:t>
      </w:r>
    </w:p>
    <w:p>
      <w:pPr>
        <w:pBdr>
          <w:bottom w:val="single" w:sz="12" w:space="6" w:color="1FA2A6"/>
        </w:pBdr>
      </w:pPr>
      <w:r>
        <w:rPr>
          <w:color w:val="4A5A68"/>
          <w:sz w:val="18"/>
        </w:rPr>
        <w:t>David Chen  ·  12 August 2026  ·  HB-OPS-SPC-0003</w:t>
      </w:r>
    </w:p>
    <w:p>
      <w:pPr>
        <w:pStyle w:val="Heading1"/>
      </w:pPr>
      <w:r>
        <w:t>1. Location</w:t>
      </w:r>
    </w:p>
    <w:p>
      <w:r>
        <w:t>The O&amp;M base will be at the Port of Eastholm, which is also the construction base for Harrow Bay. The site is 41 nautical miles from the centre of the wind farm, about 1 h 45 min transit for a 25-knot crew transfer vessel.</w:t>
      </w:r>
    </w:p>
    <w:p>
      <w:pPr>
        <w:pStyle w:val="Heading1"/>
      </w:pPr>
      <w:r>
        <w:t>2. Building and yard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Requirement</w:t>
            </w:r>
          </w:p>
        </w:tc>
        <w:tc>
          <w:tcPr>
            <w:tcW w:type="dxa" w:w="4706"/>
            <w:shd w:val="clear" w:color="auto" w:fill="0B3C5D"/>
          </w:tcPr>
          <w:p>
            <w:r/>
            <w:r>
              <w:rPr>
                <w:b/>
                <w:color w:val="FFFFFF"/>
                <w:sz w:val="18"/>
              </w:rPr>
              <w:t>Specification</w:t>
            </w:r>
          </w:p>
        </w:tc>
      </w:tr>
      <w:tr>
        <w:tc>
          <w:tcPr>
            <w:tcW w:type="dxa" w:w="4706"/>
          </w:tcPr>
          <w:p>
            <w:r/>
            <w:r>
              <w:rPr>
                <w:sz w:val="18"/>
              </w:rPr>
              <w:t>Office space</w:t>
            </w:r>
          </w:p>
        </w:tc>
        <w:tc>
          <w:tcPr>
            <w:tcW w:type="dxa" w:w="4706"/>
          </w:tcPr>
          <w:p>
            <w:r/>
            <w:r>
              <w:rPr>
                <w:sz w:val="18"/>
              </w:rPr>
              <w:t>650 m², 40 workstations, marine coordination room with view of the pontoon</w:t>
            </w:r>
          </w:p>
        </w:tc>
      </w:tr>
      <w:tr>
        <w:tc>
          <w:tcPr>
            <w:tcW w:type="dxa" w:w="4706"/>
            <w:shd w:val="clear" w:color="auto" w:fill="EEF3F6"/>
          </w:tcPr>
          <w:p>
            <w:r/>
            <w:r>
              <w:rPr>
                <w:sz w:val="18"/>
              </w:rPr>
              <w:t>Workshop</w:t>
            </w:r>
          </w:p>
        </w:tc>
        <w:tc>
          <w:tcPr>
            <w:tcW w:type="dxa" w:w="4706"/>
            <w:shd w:val="clear" w:color="auto" w:fill="EEF3F6"/>
          </w:tcPr>
          <w:p>
            <w:r/>
            <w:r>
              <w:rPr>
                <w:sz w:val="18"/>
              </w:rPr>
              <w:t>400 m², 5 t overhead crane, HV test area</w:t>
            </w:r>
          </w:p>
        </w:tc>
      </w:tr>
      <w:tr>
        <w:tc>
          <w:tcPr>
            <w:tcW w:type="dxa" w:w="4706"/>
          </w:tcPr>
          <w:p>
            <w:r/>
            <w:r>
              <w:rPr>
                <w:sz w:val="18"/>
              </w:rPr>
              <w:t>Warehouse</w:t>
            </w:r>
          </w:p>
        </w:tc>
        <w:tc>
          <w:tcPr>
            <w:tcW w:type="dxa" w:w="4706"/>
          </w:tcPr>
          <w:p>
            <w:r/>
            <w:r>
              <w:rPr>
                <w:sz w:val="18"/>
              </w:rPr>
              <w:t>1,200 m² indoor + 2,500 m² laydown yard</w:t>
            </w:r>
          </w:p>
        </w:tc>
      </w:tr>
      <w:tr>
        <w:tc>
          <w:tcPr>
            <w:tcW w:type="dxa" w:w="4706"/>
            <w:shd w:val="clear" w:color="auto" w:fill="EEF3F6"/>
          </w:tcPr>
          <w:p>
            <w:r/>
            <w:r>
              <w:rPr>
                <w:sz w:val="18"/>
              </w:rPr>
              <w:t>Welfare</w:t>
            </w:r>
          </w:p>
        </w:tc>
        <w:tc>
          <w:tcPr>
            <w:tcW w:type="dxa" w:w="4706"/>
            <w:shd w:val="clear" w:color="auto" w:fill="EEF3F6"/>
          </w:tcPr>
          <w:p>
            <w:r/>
            <w:r>
              <w:rPr>
                <w:sz w:val="18"/>
              </w:rPr>
              <w:t>Changing rooms for 60 technicians, drying room for survival suits, canteen</w:t>
            </w:r>
          </w:p>
        </w:tc>
      </w:tr>
      <w:tr>
        <w:tc>
          <w:tcPr>
            <w:tcW w:type="dxa" w:w="4706"/>
          </w:tcPr>
          <w:p>
            <w:r/>
            <w:r>
              <w:rPr>
                <w:sz w:val="18"/>
              </w:rPr>
              <w:t>Training</w:t>
            </w:r>
          </w:p>
        </w:tc>
        <w:tc>
          <w:tcPr>
            <w:tcW w:type="dxa" w:w="4706"/>
          </w:tcPr>
          <w:p>
            <w:r/>
            <w:r>
              <w:rPr>
                <w:sz w:val="18"/>
              </w:rPr>
              <w:t>Room for 16 people, GWO refresher area</w:t>
            </w:r>
          </w:p>
        </w:tc>
      </w:tr>
      <w:tr>
        <w:tc>
          <w:tcPr>
            <w:tcW w:type="dxa" w:w="4706"/>
            <w:shd w:val="clear" w:color="auto" w:fill="EEF3F6"/>
          </w:tcPr>
          <w:p>
            <w:r/>
            <w:r>
              <w:rPr>
                <w:sz w:val="18"/>
              </w:rPr>
              <w:t>Parking</w:t>
            </w:r>
          </w:p>
        </w:tc>
        <w:tc>
          <w:tcPr>
            <w:tcW w:type="dxa" w:w="4706"/>
            <w:shd w:val="clear" w:color="auto" w:fill="EEF3F6"/>
          </w:tcPr>
          <w:p>
            <w:r/>
            <w:r>
              <w:rPr>
                <w:sz w:val="18"/>
              </w:rPr>
              <w:t>70 cars, 10 EV charging points</w:t>
            </w:r>
          </w:p>
        </w:tc>
      </w:tr>
    </w:tbl>
    <w:p/>
    <w:p>
      <w:pPr>
        <w:pStyle w:val="Heading1"/>
      </w:pPr>
      <w:r>
        <w:t>3. Marine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Requirement</w:t>
            </w:r>
          </w:p>
        </w:tc>
        <w:tc>
          <w:tcPr>
            <w:tcW w:type="dxa" w:w="4706"/>
            <w:shd w:val="clear" w:color="auto" w:fill="0B3C5D"/>
          </w:tcPr>
          <w:p>
            <w:r/>
            <w:r>
              <w:rPr>
                <w:b/>
                <w:color w:val="FFFFFF"/>
                <w:sz w:val="18"/>
              </w:rPr>
              <w:t>Specification</w:t>
            </w:r>
          </w:p>
        </w:tc>
      </w:tr>
      <w:tr>
        <w:tc>
          <w:tcPr>
            <w:tcW w:type="dxa" w:w="4706"/>
          </w:tcPr>
          <w:p>
            <w:r/>
            <w:r>
              <w:rPr>
                <w:sz w:val="18"/>
              </w:rPr>
              <w:t>Pontoon</w:t>
            </w:r>
          </w:p>
        </w:tc>
        <w:tc>
          <w:tcPr>
            <w:tcW w:type="dxa" w:w="4706"/>
          </w:tcPr>
          <w:p>
            <w:r/>
            <w:r>
              <w:rPr>
                <w:sz w:val="18"/>
              </w:rPr>
              <w:t>3 CTV berths, 24/7 access, minimum depth 3.5 m at lowest astronomical tide</w:t>
            </w:r>
          </w:p>
        </w:tc>
      </w:tr>
      <w:tr>
        <w:tc>
          <w:tcPr>
            <w:tcW w:type="dxa" w:w="4706"/>
            <w:shd w:val="clear" w:color="auto" w:fill="EEF3F6"/>
          </w:tcPr>
          <w:p>
            <w:r/>
            <w:r>
              <w:rPr>
                <w:sz w:val="18"/>
              </w:rPr>
              <w:t>Bunkering</w:t>
            </w:r>
          </w:p>
        </w:tc>
        <w:tc>
          <w:tcPr>
            <w:tcW w:type="dxa" w:w="4706"/>
            <w:shd w:val="clear" w:color="auto" w:fill="EEF3F6"/>
          </w:tcPr>
          <w:p>
            <w:r/>
            <w:r>
              <w:rPr>
                <w:sz w:val="18"/>
              </w:rPr>
              <w:t>Fuel and fresh water at the pontoon</w:t>
            </w:r>
          </w:p>
        </w:tc>
      </w:tr>
      <w:tr>
        <w:tc>
          <w:tcPr>
            <w:tcW w:type="dxa" w:w="4706"/>
          </w:tcPr>
          <w:p>
            <w:r/>
            <w:r>
              <w:rPr>
                <w:sz w:val="18"/>
              </w:rPr>
              <w:t>Quay</w:t>
            </w:r>
          </w:p>
        </w:tc>
        <w:tc>
          <w:tcPr>
            <w:tcW w:type="dxa" w:w="4706"/>
          </w:tcPr>
          <w:p>
            <w:r/>
            <w:r>
              <w:rPr>
                <w:sz w:val="18"/>
              </w:rPr>
              <w:t>Access for an SOV (90 m) for crew change and loading, 2 days per fortnight</w:t>
            </w:r>
          </w:p>
        </w:tc>
      </w:tr>
      <w:tr>
        <w:tc>
          <w:tcPr>
            <w:tcW w:type="dxa" w:w="4706"/>
            <w:shd w:val="clear" w:color="auto" w:fill="EEF3F6"/>
          </w:tcPr>
          <w:p>
            <w:r/>
            <w:r>
              <w:rPr>
                <w:sz w:val="18"/>
              </w:rPr>
              <w:t>Lifting</w:t>
            </w:r>
          </w:p>
        </w:tc>
        <w:tc>
          <w:tcPr>
            <w:tcW w:type="dxa" w:w="4706"/>
            <w:shd w:val="clear" w:color="auto" w:fill="EEF3F6"/>
          </w:tcPr>
          <w:p>
            <w:r/>
            <w:r>
              <w:rPr>
                <w:sz w:val="18"/>
              </w:rPr>
              <w:t>Mobile crane access to the pontoon for parts up to 8 t</w:t>
            </w:r>
          </w:p>
        </w:tc>
      </w:tr>
    </w:tbl>
    <w:p/>
    <w:p>
      <w:pPr>
        <w:pStyle w:val="Heading1"/>
      </w:pPr>
      <w:r>
        <w:t>4. Lease</w:t>
      </w:r>
    </w:p>
    <w:p>
      <w:r>
        <w:t>Heads of terms were agreed with the port authority on 21 August 2026: 15-year lease from 1 April 2027 with two 5-year extension options. The base building will be built by the port and fitted out by Weyland.</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O&amp;M Base Requirements – Port of Eastholm  ·  HB-OPS-SPC-0003</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O&amp;M Base Requirements – Port of Eastholm</dc:title>
  <dc:subject>Harrow Bay Offshore Wind</dc:subject>
  <dc:creator>David Chen</dc:creator>
  <cp:keywords>approved</cp:keywords>
  <dc:description>generated by python-docx</dc:description>
  <cp:lastModifiedBy>David Chen</cp:lastModifiedBy>
  <cp:revision>1</cp:revision>
  <dcterms:created xsi:type="dcterms:W3CDTF">2026-05-18T10:00:00Z</dcterms:created>
  <dcterms:modified xsi:type="dcterms:W3CDTF">2026-08-12T10:00:00Z</dcterms:modified>
  <cp:category/>
</cp:coreProperties>
</file>