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color w:val="0B3C5D"/>
          <w:sz w:val="44"/>
        </w:rPr>
        <w:t>CMS Alarm Threshold Review</w:t>
      </w:r>
    </w:p>
    <w:p>
      <w:r>
        <w:rPr>
          <w:color w:val="1FA2A6"/>
          <w:sz w:val="25"/>
        </w:rPr>
        <w:t>Drive-train condition monitoring after KR-INC-2026-003</w:t>
      </w:r>
    </w:p>
    <w:p>
      <w:pPr>
        <w:pBdr>
          <w:bottom w:val="single" w:sz="12" w:space="6" w:color="1FA2A6"/>
        </w:pBdr>
      </w:pPr>
      <w:r>
        <w:rPr>
          <w:color w:val="4A5A68"/>
          <w:sz w:val="18"/>
        </w:rPr>
        <w:t>David Chen  ·  28 April 2026  ·  OPS-TEC-0014</w:t>
      </w:r>
    </w:p>
    <w:p>
      <w:pPr>
        <w:pStyle w:val="Heading1"/>
      </w:pPr>
      <w:r>
        <w:t>1. Background</w:t>
      </w:r>
    </w:p>
    <w:p>
      <w:r>
        <w:t>The T-07 gearbox failure at Kestrel Ridge (KR-INC-2026-003) developed over at least eight weeks without triggering a CMS alarm. The ISS bearing envelope kurtosis rose from 3.1 to 4.3; the generic threshold of 4.5 was never reached. This review, carried out by Sara Lindgren with Highline Wind Services and the CMS supplier, sets new thresholds for all Kestrel Ridge turbines and a method for the rest of the fleet.</w:t>
      </w:r>
    </w:p>
    <w:p>
      <w:pPr>
        <w:pStyle w:val="Heading1"/>
      </w:pPr>
      <w:r>
        <w:t>2. Method</w:t>
      </w:r>
    </w:p>
    <w:p>
      <w:pPr>
        <w:pStyle w:val="ListBullet"/>
      </w:pPr>
      <w:r>
        <w:t>Baseline per turbine from 12 months of healthy data (2025).</w:t>
      </w:r>
    </w:p>
    <w:p>
      <w:pPr>
        <w:pStyle w:val="ListBullet"/>
      </w:pPr>
      <w:r>
        <w:t>Warning at baseline + 3σ, alarm at baseline + 5σ, with absolute caps.</w:t>
      </w:r>
    </w:p>
    <w:p>
      <w:pPr>
        <w:pStyle w:val="ListBullet"/>
      </w:pPr>
      <w:r>
        <w:t>Trend alarm: increase of &gt; 25 % in 30 days, independent of the absolute level.</w:t>
      </w:r>
    </w:p>
    <w:p>
      <w:pPr>
        <w:pStyle w:val="ListBullet"/>
      </w:pPr>
      <w:r>
        <w:t>Combine with oil particle count: two indicators in warning → endoscope within 4 weeks.</w:t>
      </w:r>
    </w:p>
    <w:p>
      <w:pPr>
        <w:pStyle w:val="Heading1"/>
      </w:pPr>
      <w:r>
        <w:t>3. New thresholds – Kestrel Ridge</w:t>
      </w:r>
    </w:p>
    <w:tbl>
      <w:tblPr>
        <w:tblStyle w:val="TableGrid"/>
        <w:tblW w:type="auto" w:w="0"/>
        <w:jc w:val="center"/>
        <w:tblLook w:firstColumn="1" w:firstRow="1" w:lastColumn="0" w:lastRow="0" w:noHBand="0" w:noVBand="1" w:val="04A0"/>
      </w:tblPr>
      <w:tblGrid>
        <w:gridCol w:w="1882"/>
        <w:gridCol w:w="1882"/>
        <w:gridCol w:w="1882"/>
        <w:gridCol w:w="1882"/>
        <w:gridCol w:w="1882"/>
      </w:tblGrid>
      <w:tr>
        <w:tc>
          <w:tcPr>
            <w:tcW w:type="dxa" w:w="1882"/>
            <w:shd w:val="clear" w:color="auto" w:fill="0B3C5D"/>
          </w:tcPr>
          <w:p>
            <w:r/>
            <w:r>
              <w:rPr>
                <w:b/>
                <w:color w:val="FFFFFF"/>
                <w:sz w:val="18"/>
              </w:rPr>
              <w:t>Indicator</w:t>
            </w:r>
          </w:p>
        </w:tc>
        <w:tc>
          <w:tcPr>
            <w:tcW w:type="dxa" w:w="1882"/>
            <w:shd w:val="clear" w:color="auto" w:fill="0B3C5D"/>
          </w:tcPr>
          <w:p>
            <w:r/>
            <w:r>
              <w:rPr>
                <w:b/>
                <w:color w:val="FFFFFF"/>
                <w:sz w:val="18"/>
              </w:rPr>
              <w:t>Old warning</w:t>
            </w:r>
          </w:p>
        </w:tc>
        <w:tc>
          <w:tcPr>
            <w:tcW w:type="dxa" w:w="1882"/>
            <w:shd w:val="clear" w:color="auto" w:fill="0B3C5D"/>
          </w:tcPr>
          <w:p>
            <w:r/>
            <w:r>
              <w:rPr>
                <w:b/>
                <w:color w:val="FFFFFF"/>
                <w:sz w:val="18"/>
              </w:rPr>
              <w:t>Old alarm</w:t>
            </w:r>
          </w:p>
        </w:tc>
        <w:tc>
          <w:tcPr>
            <w:tcW w:type="dxa" w:w="1882"/>
            <w:shd w:val="clear" w:color="auto" w:fill="0B3C5D"/>
          </w:tcPr>
          <w:p>
            <w:r/>
            <w:r>
              <w:rPr>
                <w:b/>
                <w:color w:val="FFFFFF"/>
                <w:sz w:val="18"/>
              </w:rPr>
              <w:t>New warning</w:t>
            </w:r>
          </w:p>
        </w:tc>
        <w:tc>
          <w:tcPr>
            <w:tcW w:type="dxa" w:w="1882"/>
            <w:shd w:val="clear" w:color="auto" w:fill="0B3C5D"/>
          </w:tcPr>
          <w:p>
            <w:r/>
            <w:r>
              <w:rPr>
                <w:b/>
                <w:color w:val="FFFFFF"/>
                <w:sz w:val="18"/>
              </w:rPr>
              <w:t>New alarm</w:t>
            </w:r>
          </w:p>
        </w:tc>
      </w:tr>
      <w:tr>
        <w:tc>
          <w:tcPr>
            <w:tcW w:type="dxa" w:w="1882"/>
          </w:tcPr>
          <w:p>
            <w:r/>
            <w:r>
              <w:rPr>
                <w:sz w:val="18"/>
              </w:rPr>
              <w:t>ISS envelope kurtosis</w:t>
            </w:r>
          </w:p>
        </w:tc>
        <w:tc>
          <w:tcPr>
            <w:tcW w:type="dxa" w:w="1882"/>
          </w:tcPr>
          <w:p>
            <w:r/>
            <w:r>
              <w:rPr>
                <w:sz w:val="18"/>
              </w:rPr>
              <w:t>4.0</w:t>
            </w:r>
          </w:p>
        </w:tc>
        <w:tc>
          <w:tcPr>
            <w:tcW w:type="dxa" w:w="1882"/>
          </w:tcPr>
          <w:p>
            <w:r/>
            <w:r>
              <w:rPr>
                <w:sz w:val="18"/>
              </w:rPr>
              <w:t>4.5</w:t>
            </w:r>
          </w:p>
        </w:tc>
        <w:tc>
          <w:tcPr>
            <w:tcW w:type="dxa" w:w="1882"/>
          </w:tcPr>
          <w:p>
            <w:r/>
            <w:r>
              <w:rPr>
                <w:sz w:val="18"/>
              </w:rPr>
              <w:t>3.5</w:t>
            </w:r>
          </w:p>
        </w:tc>
        <w:tc>
          <w:tcPr>
            <w:tcW w:type="dxa" w:w="1882"/>
          </w:tcPr>
          <w:p>
            <w:r/>
            <w:r>
              <w:rPr>
                <w:sz w:val="18"/>
              </w:rPr>
              <w:t>3.8</w:t>
            </w:r>
          </w:p>
        </w:tc>
      </w:tr>
      <w:tr>
        <w:tc>
          <w:tcPr>
            <w:tcW w:type="dxa" w:w="1882"/>
            <w:shd w:val="clear" w:color="auto" w:fill="EEF3F6"/>
          </w:tcPr>
          <w:p>
            <w:r/>
            <w:r>
              <w:rPr>
                <w:sz w:val="18"/>
              </w:rPr>
              <w:t>ISS envelope RMS (g)</w:t>
            </w:r>
          </w:p>
        </w:tc>
        <w:tc>
          <w:tcPr>
            <w:tcW w:type="dxa" w:w="1882"/>
            <w:shd w:val="clear" w:color="auto" w:fill="EEF3F6"/>
          </w:tcPr>
          <w:p>
            <w:r/>
            <w:r>
              <w:rPr>
                <w:sz w:val="18"/>
              </w:rPr>
              <w:t>1.5</w:t>
            </w:r>
          </w:p>
        </w:tc>
        <w:tc>
          <w:tcPr>
            <w:tcW w:type="dxa" w:w="1882"/>
            <w:shd w:val="clear" w:color="auto" w:fill="EEF3F6"/>
          </w:tcPr>
          <w:p>
            <w:r/>
            <w:r>
              <w:rPr>
                <w:sz w:val="18"/>
              </w:rPr>
              <w:t>2.5</w:t>
            </w:r>
          </w:p>
        </w:tc>
        <w:tc>
          <w:tcPr>
            <w:tcW w:type="dxa" w:w="1882"/>
            <w:shd w:val="clear" w:color="auto" w:fill="EEF3F6"/>
          </w:tcPr>
          <w:p>
            <w:r/>
            <w:r>
              <w:rPr>
                <w:sz w:val="18"/>
              </w:rPr>
              <w:t>0.9</w:t>
            </w:r>
          </w:p>
        </w:tc>
        <w:tc>
          <w:tcPr>
            <w:tcW w:type="dxa" w:w="1882"/>
            <w:shd w:val="clear" w:color="auto" w:fill="EEF3F6"/>
          </w:tcPr>
          <w:p>
            <w:r/>
            <w:r>
              <w:rPr>
                <w:sz w:val="18"/>
              </w:rPr>
              <w:t>1.4</w:t>
            </w:r>
          </w:p>
        </w:tc>
      </w:tr>
      <w:tr>
        <w:tc>
          <w:tcPr>
            <w:tcW w:type="dxa" w:w="1882"/>
          </w:tcPr>
          <w:p>
            <w:r/>
            <w:r>
              <w:rPr>
                <w:sz w:val="18"/>
              </w:rPr>
              <w:t>HSS envelope RMS (g)</w:t>
            </w:r>
          </w:p>
        </w:tc>
        <w:tc>
          <w:tcPr>
            <w:tcW w:type="dxa" w:w="1882"/>
          </w:tcPr>
          <w:p>
            <w:r/>
            <w:r>
              <w:rPr>
                <w:sz w:val="18"/>
              </w:rPr>
              <w:t>1.2</w:t>
            </w:r>
          </w:p>
        </w:tc>
        <w:tc>
          <w:tcPr>
            <w:tcW w:type="dxa" w:w="1882"/>
          </w:tcPr>
          <w:p>
            <w:r/>
            <w:r>
              <w:rPr>
                <w:sz w:val="18"/>
              </w:rPr>
              <w:t>2.0</w:t>
            </w:r>
          </w:p>
        </w:tc>
        <w:tc>
          <w:tcPr>
            <w:tcW w:type="dxa" w:w="1882"/>
          </w:tcPr>
          <w:p>
            <w:r/>
            <w:r>
              <w:rPr>
                <w:sz w:val="18"/>
              </w:rPr>
              <w:t>0.7</w:t>
            </w:r>
          </w:p>
        </w:tc>
        <w:tc>
          <w:tcPr>
            <w:tcW w:type="dxa" w:w="1882"/>
          </w:tcPr>
          <w:p>
            <w:r/>
            <w:r>
              <w:rPr>
                <w:sz w:val="18"/>
              </w:rPr>
              <w:t>1.1</w:t>
            </w:r>
          </w:p>
        </w:tc>
      </w:tr>
      <w:tr>
        <w:tc>
          <w:tcPr>
            <w:tcW w:type="dxa" w:w="1882"/>
            <w:shd w:val="clear" w:color="auto" w:fill="EEF3F6"/>
          </w:tcPr>
          <w:p>
            <w:r/>
            <w:r>
              <w:rPr>
                <w:sz w:val="18"/>
              </w:rPr>
              <w:t>Planet stage sideband ratio</w:t>
            </w:r>
          </w:p>
        </w:tc>
        <w:tc>
          <w:tcPr>
            <w:tcW w:type="dxa" w:w="1882"/>
            <w:shd w:val="clear" w:color="auto" w:fill="EEF3F6"/>
          </w:tcPr>
          <w:p>
            <w:r/>
            <w:r>
              <w:rPr>
                <w:sz w:val="18"/>
              </w:rPr>
              <w:t>–</w:t>
            </w:r>
          </w:p>
        </w:tc>
        <w:tc>
          <w:tcPr>
            <w:tcW w:type="dxa" w:w="1882"/>
            <w:shd w:val="clear" w:color="auto" w:fill="EEF3F6"/>
          </w:tcPr>
          <w:p>
            <w:r/>
            <w:r>
              <w:rPr>
                <w:sz w:val="18"/>
              </w:rPr>
              <w:t>–</w:t>
            </w:r>
          </w:p>
        </w:tc>
        <w:tc>
          <w:tcPr>
            <w:tcW w:type="dxa" w:w="1882"/>
            <w:shd w:val="clear" w:color="auto" w:fill="EEF3F6"/>
          </w:tcPr>
          <w:p>
            <w:r/>
            <w:r>
              <w:rPr>
                <w:sz w:val="18"/>
              </w:rPr>
              <w:t>1.6</w:t>
            </w:r>
          </w:p>
        </w:tc>
        <w:tc>
          <w:tcPr>
            <w:tcW w:type="dxa" w:w="1882"/>
            <w:shd w:val="clear" w:color="auto" w:fill="EEF3F6"/>
          </w:tcPr>
          <w:p>
            <w:r/>
            <w:r>
              <w:rPr>
                <w:sz w:val="18"/>
              </w:rPr>
              <w:t>2.2</w:t>
            </w:r>
          </w:p>
        </w:tc>
      </w:tr>
      <w:tr>
        <w:tc>
          <w:tcPr>
            <w:tcW w:type="dxa" w:w="1882"/>
          </w:tcPr>
          <w:p>
            <w:r/>
            <w:r>
              <w:rPr>
                <w:sz w:val="18"/>
              </w:rPr>
              <w:t>Oil particle count (/ml, &gt; 4 µm)</w:t>
            </w:r>
          </w:p>
        </w:tc>
        <w:tc>
          <w:tcPr>
            <w:tcW w:type="dxa" w:w="1882"/>
          </w:tcPr>
          <w:p>
            <w:r/>
            <w:r>
              <w:rPr>
                <w:sz w:val="18"/>
              </w:rPr>
              <w:t>–</w:t>
            </w:r>
          </w:p>
        </w:tc>
        <w:tc>
          <w:tcPr>
            <w:tcW w:type="dxa" w:w="1882"/>
          </w:tcPr>
          <w:p>
            <w:r/>
            <w:r>
              <w:rPr>
                <w:sz w:val="18"/>
              </w:rPr>
              <w:t>–</w:t>
            </w:r>
          </w:p>
        </w:tc>
        <w:tc>
          <w:tcPr>
            <w:tcW w:type="dxa" w:w="1882"/>
          </w:tcPr>
          <w:p>
            <w:r/>
            <w:r>
              <w:rPr>
                <w:sz w:val="18"/>
              </w:rPr>
              <w:t>600</w:t>
            </w:r>
          </w:p>
        </w:tc>
        <w:tc>
          <w:tcPr>
            <w:tcW w:type="dxa" w:w="1882"/>
          </w:tcPr>
          <w:p>
            <w:r/>
            <w:r>
              <w:rPr>
                <w:sz w:val="18"/>
              </w:rPr>
              <w:t>900</w:t>
            </w:r>
          </w:p>
        </w:tc>
      </w:tr>
    </w:tbl>
    <w:p/>
    <w:p>
      <w:pPr>
        <w:pStyle w:val="Heading1"/>
      </w:pPr>
      <w:r>
        <w:t>4. Back-test</w:t>
      </w:r>
    </w:p>
    <w:p>
      <w:r>
        <w:t>Applied to the T-07 data, the new warning would have triggered on 3 December 2025 and the alarm on 21 December 2025 – three to six weeks before the failure, enough to plan an up-tower bearing exchange. On T-12 the new thresholds triggered a warning on 9 March 2026, consistent with the endoscope finding.</w:t>
      </w:r>
    </w:p>
    <w:p>
      <w:pPr>
        <w:pStyle w:val="Heading1"/>
      </w:pPr>
      <w:r>
        <w:t>5. False alarm rate</w:t>
      </w:r>
    </w:p>
    <w:p>
      <w:r>
        <w:t>Over the 2025 data set the new thresholds would have raised 11 warnings on healthy turbines (0.6 per turbine per year) and no false alarms. Highline confirmed that this workload is acceptable.</w:t>
      </w:r>
    </w:p>
    <w:p>
      <w:pPr>
        <w:pStyle w:val="Heading1"/>
      </w:pPr>
      <w:r>
        <w:t>6. Fleet roll-out</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0B3C5D"/>
          </w:tcPr>
          <w:p>
            <w:r/>
            <w:r>
              <w:rPr>
                <w:b/>
                <w:color w:val="FFFFFF"/>
                <w:sz w:val="18"/>
              </w:rPr>
              <w:t>Asset</w:t>
            </w:r>
          </w:p>
        </w:tc>
        <w:tc>
          <w:tcPr>
            <w:tcW w:type="dxa" w:w="3137"/>
            <w:shd w:val="clear" w:color="auto" w:fill="0B3C5D"/>
          </w:tcPr>
          <w:p>
            <w:r/>
            <w:r>
              <w:rPr>
                <w:b/>
                <w:color w:val="FFFFFF"/>
                <w:sz w:val="18"/>
              </w:rPr>
              <w:t>CMS owner</w:t>
            </w:r>
          </w:p>
        </w:tc>
        <w:tc>
          <w:tcPr>
            <w:tcW w:type="dxa" w:w="3137"/>
            <w:shd w:val="clear" w:color="auto" w:fill="0B3C5D"/>
          </w:tcPr>
          <w:p>
            <w:r/>
            <w:r>
              <w:rPr>
                <w:b/>
                <w:color w:val="FFFFFF"/>
                <w:sz w:val="18"/>
              </w:rPr>
              <w:t>Retuning by</w:t>
            </w:r>
          </w:p>
        </w:tc>
      </w:tr>
      <w:tr>
        <w:tc>
          <w:tcPr>
            <w:tcW w:type="dxa" w:w="3137"/>
          </w:tcPr>
          <w:p>
            <w:r/>
            <w:r>
              <w:rPr>
                <w:sz w:val="18"/>
              </w:rPr>
              <w:t>Kestrel Ridge</w:t>
            </w:r>
          </w:p>
        </w:tc>
        <w:tc>
          <w:tcPr>
            <w:tcW w:type="dxa" w:w="3137"/>
          </w:tcPr>
          <w:p>
            <w:r/>
            <w:r>
              <w:rPr>
                <w:sz w:val="18"/>
              </w:rPr>
              <w:t>Highline / Weyland</w:t>
            </w:r>
          </w:p>
        </w:tc>
        <w:tc>
          <w:tcPr>
            <w:tcW w:type="dxa" w:w="3137"/>
          </w:tcPr>
          <w:p>
            <w:r/>
            <w:r>
              <w:rPr>
                <w:sz w:val="18"/>
              </w:rPr>
              <w:t>Done 2026-04-30</w:t>
            </w:r>
          </w:p>
        </w:tc>
      </w:tr>
      <w:tr>
        <w:tc>
          <w:tcPr>
            <w:tcW w:type="dxa" w:w="3137"/>
            <w:shd w:val="clear" w:color="auto" w:fill="EEF3F6"/>
          </w:tcPr>
          <w:p>
            <w:r/>
            <w:r>
              <w:rPr>
                <w:sz w:val="18"/>
              </w:rPr>
              <w:t>Skerrow Moor</w:t>
            </w:r>
          </w:p>
        </w:tc>
        <w:tc>
          <w:tcPr>
            <w:tcW w:type="dxa" w:w="3137"/>
            <w:shd w:val="clear" w:color="auto" w:fill="EEF3F6"/>
          </w:tcPr>
          <w:p>
            <w:r/>
            <w:r>
              <w:rPr>
                <w:sz w:val="18"/>
              </w:rPr>
              <w:t>OEM</w:t>
            </w:r>
          </w:p>
        </w:tc>
        <w:tc>
          <w:tcPr>
            <w:tcW w:type="dxa" w:w="3137"/>
            <w:shd w:val="clear" w:color="auto" w:fill="EEF3F6"/>
          </w:tcPr>
          <w:p>
            <w:r/>
            <w:r>
              <w:rPr>
                <w:sz w:val="18"/>
              </w:rPr>
              <w:t>2026-10-31</w:t>
            </w:r>
          </w:p>
        </w:tc>
      </w:tr>
      <w:tr>
        <w:tc>
          <w:tcPr>
            <w:tcW w:type="dxa" w:w="3137"/>
          </w:tcPr>
          <w:p>
            <w:r/>
            <w:r>
              <w:rPr>
                <w:sz w:val="18"/>
              </w:rPr>
              <w:t>Glenquey</w:t>
            </w:r>
          </w:p>
        </w:tc>
        <w:tc>
          <w:tcPr>
            <w:tcW w:type="dxa" w:w="3137"/>
          </w:tcPr>
          <w:p>
            <w:r/>
            <w:r>
              <w:rPr>
                <w:sz w:val="18"/>
              </w:rPr>
              <w:t>OEM</w:t>
            </w:r>
          </w:p>
        </w:tc>
        <w:tc>
          <w:tcPr>
            <w:tcW w:type="dxa" w:w="3137"/>
          </w:tcPr>
          <w:p>
            <w:r/>
            <w:r>
              <w:rPr>
                <w:sz w:val="18"/>
              </w:rPr>
              <w:t>2026-11-30</w:t>
            </w:r>
          </w:p>
        </w:tc>
      </w:tr>
      <w:tr>
        <w:tc>
          <w:tcPr>
            <w:tcW w:type="dxa" w:w="3137"/>
            <w:shd w:val="clear" w:color="auto" w:fill="EEF3F6"/>
          </w:tcPr>
          <w:p>
            <w:r/>
            <w:r>
              <w:rPr>
                <w:sz w:val="18"/>
              </w:rPr>
              <w:t>Nordheide, Ostholstein</w:t>
            </w:r>
          </w:p>
        </w:tc>
        <w:tc>
          <w:tcPr>
            <w:tcW w:type="dxa" w:w="3137"/>
            <w:shd w:val="clear" w:color="auto" w:fill="EEF3F6"/>
          </w:tcPr>
          <w:p>
            <w:r/>
            <w:r>
              <w:rPr>
                <w:sz w:val="18"/>
              </w:rPr>
              <w:t>OEM</w:t>
            </w:r>
          </w:p>
        </w:tc>
        <w:tc>
          <w:tcPr>
            <w:tcW w:type="dxa" w:w="3137"/>
            <w:shd w:val="clear" w:color="auto" w:fill="EEF3F6"/>
          </w:tcPr>
          <w:p>
            <w:r/>
            <w:r>
              <w:rPr>
                <w:sz w:val="18"/>
              </w:rPr>
              <w:t>2027-01-31</w:t>
            </w:r>
          </w:p>
        </w:tc>
      </w:tr>
      <w:tr>
        <w:tc>
          <w:tcPr>
            <w:tcW w:type="dxa" w:w="3137"/>
          </w:tcPr>
          <w:p>
            <w:r/>
            <w:r>
              <w:rPr>
                <w:sz w:val="18"/>
              </w:rPr>
              <w:t>Dunmore Hill, Wesermarsch</w:t>
            </w:r>
          </w:p>
        </w:tc>
        <w:tc>
          <w:tcPr>
            <w:tcW w:type="dxa" w:w="3137"/>
          </w:tcPr>
          <w:p>
            <w:r/>
            <w:r>
              <w:rPr>
                <w:sz w:val="18"/>
              </w:rPr>
              <w:t>Weyland</w:t>
            </w:r>
          </w:p>
        </w:tc>
        <w:tc>
          <w:tcPr>
            <w:tcW w:type="dxa" w:w="3137"/>
          </w:tcPr>
          <w:p>
            <w:r/>
            <w:r>
              <w:rPr>
                <w:sz w:val="18"/>
              </w:rPr>
              <w:t>2026-12-15</w:t>
            </w:r>
          </w:p>
        </w:tc>
      </w:tr>
      <w:tr>
        <w:tc>
          <w:tcPr>
            <w:tcW w:type="dxa" w:w="3137"/>
            <w:shd w:val="clear" w:color="auto" w:fill="EEF3F6"/>
          </w:tcPr>
          <w:p>
            <w:r/>
            <w:r>
              <w:rPr>
                <w:sz w:val="18"/>
              </w:rPr>
              <w:t>Thy Vest</w:t>
            </w:r>
          </w:p>
        </w:tc>
        <w:tc>
          <w:tcPr>
            <w:tcW w:type="dxa" w:w="3137"/>
            <w:shd w:val="clear" w:color="auto" w:fill="EEF3F6"/>
          </w:tcPr>
          <w:p>
            <w:r/>
            <w:r>
              <w:rPr>
                <w:sz w:val="18"/>
              </w:rPr>
              <w:t>OEM</w:t>
            </w:r>
          </w:p>
        </w:tc>
        <w:tc>
          <w:tcPr>
            <w:tcW w:type="dxa" w:w="3137"/>
            <w:shd w:val="clear" w:color="auto" w:fill="EEF3F6"/>
          </w:tcPr>
          <w:p>
            <w:r/>
            <w:r>
              <w:rPr>
                <w:sz w:val="18"/>
              </w:rPr>
              <w:t>2027-02-28</w:t>
            </w:r>
          </w:p>
        </w:tc>
      </w:tr>
    </w:tbl>
    <w:p/>
    <w:sectPr w:rsidR="00FC693F" w:rsidRPr="0006063C" w:rsidSect="00034616">
      <w:headerReference w:type="default" r:id="rId9"/>
      <w:footerReference w:type="default" r:id="rId10"/>
      <w:pgSz w:w="11906" w:h="16838"/>
      <w:pgMar w:top="130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color w:val="4A5A68"/>
        <w:sz w:val="16"/>
      </w:rPr>
      <w:t>CMS Alarm Threshold Review  ·  OPS-TEC-0014</w:t>
      <w:tab/>
      <w:tab/>
      <w:t xml:space="preserve">Page </w:t>
    </w:r>
    <w:r>
      <w:rPr>
        <w:sz w:val="16"/>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b/>
        <w:color w:val="0B3C5D"/>
        <w:sz w:val="18"/>
      </w:rPr>
      <w:t>WEYLAND</w:t>
    </w:r>
    <w:r>
      <w:rPr>
        <w:color w:val="1FA2A6"/>
        <w:sz w:val="18"/>
      </w:rPr>
      <w:t xml:space="preserve"> ENERGY</w:t>
    </w:r>
    <w:r>
      <w:rPr>
        <w:b/>
        <w:color w:val="E4572E"/>
        <w:sz w:val="16"/>
      </w:rPr>
      <w:tab/>
      <w:tab/>
      <w:t>INTERNAL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rial" w:hAnsi="Arial"/>
      <w:color w:val="22303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80"/>
      <w:outlineLvl w:val="0"/>
    </w:pPr>
    <w:rPr>
      <w:rFonts w:asciiTheme="majorHAnsi" w:eastAsiaTheme="majorEastAsia" w:hAnsiTheme="majorHAnsi" w:cstheme="majorBidi" w:ascii="Arial" w:hAnsi="Arial" w:cs="Arial" w:eastAsia="Arial"/>
      <w:b/>
      <w:bCs/>
      <w:color w:val="0B3C5D"/>
      <w:sz w:val="32"/>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rial" w:hAnsi="Arial" w:cs="Arial" w:eastAsia="Arial"/>
      <w:b/>
      <w:bCs/>
      <w:color w:val="0B3C5D"/>
      <w:sz w:val="26"/>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Arial" w:hAnsi="Arial" w:cs="Arial" w:eastAsia="Arial"/>
      <w:b/>
      <w:bCs/>
      <w:color w:val="1FA2A6"/>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CMS Alarm Threshold Review</dc:title>
  <dc:subject>Drive-train condition monitoring after KR-INC-2026-003</dc:subject>
  <dc:creator>David Chen</dc:creator>
  <cp:keywords>approved</cp:keywords>
  <dc:description>generated by python-docx</dc:description>
  <cp:lastModifiedBy>David Chen</cp:lastModifiedBy>
  <cp:revision>1</cp:revision>
  <dcterms:created xsi:type="dcterms:W3CDTF">2026-03-02T10:00:00Z</dcterms:created>
  <dcterms:modified xsi:type="dcterms:W3CDTF">2026-04-28T10:00:00Z</dcterms:modified>
  <cp:category/>
</cp:coreProperties>
</file>