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Tone of Voice Guide</w:t>
      </w:r>
    </w:p>
    <w:p>
      <w:r>
        <w:rPr>
          <w:color w:val="1FA2A6"/>
          <w:sz w:val="25"/>
        </w:rPr>
        <w:t>How Weyland writes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Noah Fischer  ·  10 February 2026  ·  WE-MC-GDL-0004</w:t>
      </w:r>
    </w:p>
    <w:p>
      <w:r>
        <w:t>Everything we publish – a press release, a consultation leaflet, a LinkedIn post, a planning letter – should sound like one thoughtful person who knows the subject and respects the reader. These five principles replace the 2019 'writing style' page.</w:t>
      </w:r>
    </w:p>
    <w:p>
      <w:pPr>
        <w:pStyle w:val="Heading1"/>
      </w:pPr>
      <w:r>
        <w:t>1. Say what we built, what it means for people, and what comes next</w:t>
      </w:r>
    </w:p>
    <w:p>
      <w:r>
        <w:t xml:space="preserve">Lead with the fact, then the meaning. </w:t>
      </w:r>
      <w:r>
        <w:rPr>
          <w:i/>
        </w:rPr>
        <w:t>"The first of 40 monopiles for Harrow Bay is in the seabed. When the wind farm is complete in 2028 it will supply the equivalent of 520,000 homes."</w:t>
      </w:r>
      <w:r>
        <w:t xml:space="preserve"> – not </w:t>
      </w:r>
      <w:r>
        <w:rPr>
          <w:i/>
        </w:rPr>
        <w:t>"Weyland is delighted to announce a significant milestone."</w:t>
      </w:r>
    </w:p>
    <w:p>
      <w:pPr>
        <w:pStyle w:val="Heading1"/>
      </w:pPr>
      <w:r>
        <w:t>2. Numbers are our friends – one at a time</w:t>
      </w:r>
    </w:p>
    <w:p>
      <w:r>
        <w:t>Use one strong figure per paragraph and give it a human scale (homes, years, tonnes of CO₂). Write MW and GWh with a space (480 MW), use the comma as thousands separator in English texts and the euro sign before the amount (EUR 1.1 bn in tables, €1.1 billion in prose).</w:t>
      </w:r>
    </w:p>
    <w:p>
      <w:pPr>
        <w:pStyle w:val="Heading1"/>
      </w:pPr>
      <w:r>
        <w:t>3. Plain words, short sentences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Instead of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Write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leverage synergies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work together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going forward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from now on / in 2027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energy transition journey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(cut it)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stakeholders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neighbours, lenders, suppliers – be specific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utilise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use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green, sustainable, eco-friendly (stacked)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one precise claim with a number</w:t>
            </w:r>
          </w:p>
        </w:tc>
      </w:tr>
    </w:tbl>
    <w:p/>
    <w:p>
      <w:pPr>
        <w:pStyle w:val="Heading1"/>
      </w:pPr>
      <w:r>
        <w:t>4. Honest about problems</w:t>
      </w:r>
    </w:p>
    <w:p>
      <w:r>
        <w:t>When something goes wrong – a delayed cable, a turbine fault, a near miss – we say so early, explain what we are doing and when we will update. Holding statements are approved by Noah Fischer and the responsible director.</w:t>
      </w:r>
    </w:p>
    <w:p>
      <w:pPr>
        <w:pStyle w:val="Heading1"/>
      </w:pPr>
      <w:r>
        <w:t>5. British English, warm but not chatty</w:t>
      </w:r>
    </w:p>
    <w:p>
      <w:r>
        <w:t>We write in British English (organisation, harbour, programme). German and Danish versions are translated, not rewritten. Exclamation marks: one per year, used wisely.</w:t>
      </w:r>
    </w:p>
    <w:p>
      <w:pPr>
        <w:pStyle w:val="Heading1"/>
      </w:pPr>
      <w:r>
        <w:t>Tagline</w:t>
      </w:r>
    </w:p>
    <w:p>
      <w:r>
        <w:rPr>
          <w:i/>
        </w:rPr>
        <w:t>Clean power, built to last.</w:t>
      </w:r>
      <w:r>
        <w:t xml:space="preserve"> is used as a sign-off at the end of campaigns, videos and the website footer. Do not use it as a headline, do not adapt it ("Clean power, built to last – and fast!") and do not translate it. In running text we may echo the idea – "built to last" – but never more than once per piece.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1FA2A6"/>
            </w:tcBorders>
          </w:tcPr>
          <w:p>
            <w:r/>
            <w:r>
              <w:rPr>
                <w:sz w:val="19"/>
              </w:rPr>
              <w:t>Checklist before you publish: Would a neighbour of Millbrook understand it? Is every number from an approved source? Is there one clear next step for the reader?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Tone of Voice Guide  ·  WE-MC-GDL-0004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Tone of Voice Guide</dc:title>
  <dc:subject>How Weyland writes</dc:subject>
  <dc:creator>Noah Fischer</dc:creator>
  <cp:keywords>approved</cp:keywords>
  <dc:description>generated by python-docx</dc:description>
  <cp:lastModifiedBy>Noah Fischer</cp:lastModifiedBy>
  <cp:revision>1</cp:revision>
  <dcterms:created xsi:type="dcterms:W3CDTF">2026-01-05T10:00:00Z</dcterms:created>
  <dcterms:modified xsi:type="dcterms:W3CDTF">2026-02-10T10:00:00Z</dcterms:modified>
  <cp:category/>
</cp:coreProperties>
</file>