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Consultation Feedback Analysis</w:t>
      </w:r>
    </w:p>
    <w:p>
      <w:r>
        <w:rPr>
          <w:color w:val="1FA2A6"/>
          <w:sz w:val="25"/>
        </w:rPr>
        <w:t>Millbrook Solar &amp; Storage – consultations #1 to #3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Tom Berger  ·  02 October 2026  ·  WE-CE-RPT-2026-07</w:t>
      </w:r>
    </w:p>
    <w:p>
      <w:pPr>
        <w:pStyle w:val="Heading1"/>
      </w:pPr>
      <w:r>
        <w:t>1. Summary</w:t>
      </w:r>
    </w:p>
    <w:p>
      <w:r>
        <w:t xml:space="preserve">Across three public consultations (2026-03-11, 2026-05-20, 2026-09-16) 563 people attended and we received </w:t>
      </w:r>
      <w:r>
        <w:rPr>
          <w:b/>
        </w:rPr>
        <w:t>472 written responses</w:t>
      </w:r>
      <w:r>
        <w:t xml:space="preserve">. The three most raised themes overall were </w:t>
      </w:r>
      <w:r>
        <w:rPr>
          <w:i/>
        </w:rPr>
        <w:t>construction traffic on mill lane</w:t>
      </w:r>
      <w:r>
        <w:t xml:space="preserve"> (174 mentions), </w:t>
      </w:r>
      <w:r>
        <w:rPr>
          <w:i/>
        </w:rPr>
        <w:t>support for local clean energy</w:t>
      </w:r>
      <w:r>
        <w:t xml:space="preserve"> (158) and </w:t>
      </w:r>
      <w:r>
        <w:rPr>
          <w:i/>
        </w:rPr>
        <w:t>glare for nearby homes</w:t>
      </w:r>
      <w:r>
        <w:t xml:space="preserve"> (128).</w:t>
      </w:r>
    </w:p>
    <w:p>
      <w:r>
        <w:t>Support among respondents rose from 42 % to 53 %, and opposition fell from 37 % to 29 %. The changes that made the biggest difference, judging from the comments, were the haul road from the B4127, removing field 7 and the community fund.</w:t>
      </w:r>
    </w:p>
    <w:p>
      <w:pPr>
        <w:pStyle w:val="Heading1"/>
      </w:pPr>
      <w:r>
        <w:t>2. Participation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Venue</w:t>
            </w:r>
          </w:p>
        </w:tc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Attendees</w:t>
            </w:r>
          </w:p>
        </w:tc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Responses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8"/>
              </w:rPr>
              <w:t>#1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2026-03-11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Millbrook Village Hall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164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97</w:t>
            </w:r>
          </w:p>
        </w:tc>
      </w:tr>
      <w:tr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#2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2026-05-20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Millbrook Village Hall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212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202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8"/>
              </w:rPr>
              <w:t>#3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2026-09-16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St Mary's Church Rooms, Millbrook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187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173</w:t>
            </w:r>
          </w:p>
        </w:tc>
      </w:tr>
      <w:tr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1882"/>
            <w:shd w:val="clear" w:color="auto" w:fill="EEF3F6"/>
          </w:tcPr>
          <w:p>
            <w:r/>
          </w:p>
        </w:tc>
        <w:tc>
          <w:tcPr>
            <w:tcW w:type="dxa" w:w="1882"/>
            <w:shd w:val="clear" w:color="auto" w:fill="EEF3F6"/>
          </w:tcPr>
          <w:p>
            <w:r/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563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472</w:t>
            </w:r>
          </w:p>
        </w:tc>
      </w:tr>
    </w:tbl>
    <w:p/>
    <w:p>
      <w:pPr>
        <w:pStyle w:val="Heading1"/>
      </w:pPr>
      <w:r>
        <w:t>3. Themes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2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unity-chart-themes-all-ce0434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2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A68"/>
          <w:sz w:val="17"/>
        </w:rPr>
        <w:t>Mentions per theme and consultation (a response may raise up to two themes)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4481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Theme</w:t>
            </w:r>
          </w:p>
        </w:tc>
        <w:tc>
          <w:tcPr>
            <w:tcW w:type="dxa" w:w="1120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#1</w:t>
            </w:r>
          </w:p>
        </w:tc>
        <w:tc>
          <w:tcPr>
            <w:tcW w:type="dxa" w:w="1120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#2</w:t>
            </w:r>
          </w:p>
        </w:tc>
        <w:tc>
          <w:tcPr>
            <w:tcW w:type="dxa" w:w="1120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#3</w:t>
            </w:r>
          </w:p>
        </w:tc>
        <w:tc>
          <w:tcPr>
            <w:tcW w:type="dxa" w:w="1569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Trend</w:t>
            </w:r>
          </w:p>
        </w:tc>
      </w:tr>
      <w:tr>
        <w:tc>
          <w:tcPr>
            <w:tcW w:type="dxa" w:w="4481"/>
          </w:tcPr>
          <w:p>
            <w:r/>
            <w:r>
              <w:rPr>
                <w:sz w:val="18"/>
              </w:rPr>
              <w:t>Glare for nearby homes</w:t>
            </w:r>
          </w:p>
        </w:tc>
        <w:tc>
          <w:tcPr>
            <w:tcW w:type="dxa" w:w="1120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1120"/>
          </w:tcPr>
          <w:p>
            <w:r/>
            <w:r>
              <w:rPr>
                <w:sz w:val="18"/>
              </w:rPr>
              <w:t>61</w:t>
            </w:r>
          </w:p>
        </w:tc>
        <w:tc>
          <w:tcPr>
            <w:tcW w:type="dxa" w:w="1120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falling</w:t>
            </w:r>
          </w:p>
        </w:tc>
      </w:tr>
      <w:tr>
        <w:tc>
          <w:tcPr>
            <w:tcW w:type="dxa" w:w="4481"/>
            <w:shd w:val="clear" w:color="auto" w:fill="EEF3F6"/>
          </w:tcPr>
          <w:p>
            <w:r/>
            <w:r>
              <w:rPr>
                <w:sz w:val="18"/>
              </w:rPr>
              <w:t>Construction traffic on Mill Lane</w:t>
            </w:r>
          </w:p>
        </w:tc>
        <w:tc>
          <w:tcPr>
            <w:tcW w:type="dxa" w:w="1120"/>
            <w:shd w:val="clear" w:color="auto" w:fill="EEF3F6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1120"/>
            <w:shd w:val="clear" w:color="auto" w:fill="EEF3F6"/>
          </w:tcPr>
          <w:p>
            <w:r/>
            <w:r>
              <w:rPr>
                <w:sz w:val="18"/>
              </w:rPr>
              <w:t>72</w:t>
            </w:r>
          </w:p>
        </w:tc>
        <w:tc>
          <w:tcPr>
            <w:tcW w:type="dxa" w:w="1120"/>
            <w:shd w:val="clear" w:color="auto" w:fill="EEF3F6"/>
          </w:tcPr>
          <w:p>
            <w:r/>
            <w:r>
              <w:rPr>
                <w:sz w:val="18"/>
              </w:rPr>
              <w:t>58</w:t>
            </w:r>
          </w:p>
        </w:tc>
        <w:tc>
          <w:tcPr>
            <w:tcW w:type="dxa" w:w="1569"/>
            <w:shd w:val="clear" w:color="auto" w:fill="EEF3F6"/>
          </w:tcPr>
          <w:p>
            <w:r/>
            <w:r>
              <w:rPr>
                <w:sz w:val="18"/>
              </w:rPr>
              <w:t>stable</w:t>
            </w:r>
          </w:p>
        </w:tc>
      </w:tr>
      <w:tr>
        <w:tc>
          <w:tcPr>
            <w:tcW w:type="dxa" w:w="4481"/>
          </w:tcPr>
          <w:p>
            <w:r/>
            <w:r>
              <w:rPr>
                <w:sz w:val="18"/>
              </w:rPr>
              <w:t>Skylark nesting habitat</w:t>
            </w:r>
          </w:p>
        </w:tc>
        <w:tc>
          <w:tcPr>
            <w:tcW w:type="dxa" w:w="1120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120"/>
          </w:tcPr>
          <w:p>
            <w:r/>
            <w:r>
              <w:rPr>
                <w:sz w:val="18"/>
              </w:rPr>
              <w:t>39</w:t>
            </w:r>
          </w:p>
        </w:tc>
        <w:tc>
          <w:tcPr>
            <w:tcW w:type="dxa" w:w="1120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stable</w:t>
            </w:r>
          </w:p>
        </w:tc>
      </w:tr>
      <w:tr>
        <w:tc>
          <w:tcPr>
            <w:tcW w:type="dxa" w:w="4481"/>
            <w:shd w:val="clear" w:color="auto" w:fill="EEF3F6"/>
          </w:tcPr>
          <w:p>
            <w:r/>
            <w:r>
              <w:rPr>
                <w:sz w:val="18"/>
              </w:rPr>
              <w:t>Visual impact from the public footpath</w:t>
            </w:r>
          </w:p>
        </w:tc>
        <w:tc>
          <w:tcPr>
            <w:tcW w:type="dxa" w:w="1120"/>
            <w:shd w:val="clear" w:color="auto" w:fill="EEF3F6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1120"/>
            <w:shd w:val="clear" w:color="auto" w:fill="EEF3F6"/>
          </w:tcPr>
          <w:p>
            <w:r/>
            <w:r>
              <w:rPr>
                <w:sz w:val="18"/>
              </w:rPr>
              <w:t>47</w:t>
            </w:r>
          </w:p>
        </w:tc>
        <w:tc>
          <w:tcPr>
            <w:tcW w:type="dxa" w:w="1120"/>
            <w:shd w:val="clear" w:color="auto" w:fill="EEF3F6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1569"/>
            <w:shd w:val="clear" w:color="auto" w:fill="EEF3F6"/>
          </w:tcPr>
          <w:p>
            <w:r/>
            <w:r>
              <w:rPr>
                <w:sz w:val="18"/>
              </w:rPr>
              <w:t>falling</w:t>
            </w:r>
          </w:p>
        </w:tc>
      </w:tr>
      <w:tr>
        <w:tc>
          <w:tcPr>
            <w:tcW w:type="dxa" w:w="4481"/>
          </w:tcPr>
          <w:p>
            <w:r/>
            <w:r>
              <w:rPr>
                <w:sz w:val="18"/>
              </w:rPr>
              <w:t>BESS fire safety</w:t>
            </w:r>
          </w:p>
        </w:tc>
        <w:tc>
          <w:tcPr>
            <w:tcW w:type="dxa" w:w="112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120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1120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stable</w:t>
            </w:r>
          </w:p>
        </w:tc>
      </w:tr>
      <w:tr>
        <w:tc>
          <w:tcPr>
            <w:tcW w:type="dxa" w:w="4481"/>
            <w:shd w:val="clear" w:color="auto" w:fill="EEF3F6"/>
          </w:tcPr>
          <w:p>
            <w:r/>
            <w:r>
              <w:rPr>
                <w:sz w:val="18"/>
              </w:rPr>
              <w:t>Loss of farmland / food production</w:t>
            </w:r>
          </w:p>
        </w:tc>
        <w:tc>
          <w:tcPr>
            <w:tcW w:type="dxa" w:w="1120"/>
            <w:shd w:val="clear" w:color="auto" w:fill="EEF3F6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120"/>
            <w:shd w:val="clear" w:color="auto" w:fill="EEF3F6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120"/>
            <w:shd w:val="clear" w:color="auto" w:fill="EEF3F6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9"/>
            <w:shd w:val="clear" w:color="auto" w:fill="EEF3F6"/>
          </w:tcPr>
          <w:p>
            <w:r/>
            <w:r>
              <w:rPr>
                <w:sz w:val="18"/>
              </w:rPr>
              <w:t>falling</w:t>
            </w:r>
          </w:p>
        </w:tc>
      </w:tr>
      <w:tr>
        <w:tc>
          <w:tcPr>
            <w:tcW w:type="dxa" w:w="4481"/>
          </w:tcPr>
          <w:p>
            <w:r/>
            <w:r>
              <w:rPr>
                <w:sz w:val="18"/>
              </w:rPr>
              <w:t>Flood risk on Mill Brook</w:t>
            </w:r>
          </w:p>
        </w:tc>
        <w:tc>
          <w:tcPr>
            <w:tcW w:type="dxa" w:w="112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12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12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falling</w:t>
            </w:r>
          </w:p>
        </w:tc>
      </w:tr>
      <w:tr>
        <w:tc>
          <w:tcPr>
            <w:tcW w:type="dxa" w:w="4481"/>
            <w:shd w:val="clear" w:color="auto" w:fill="EEF3F6"/>
          </w:tcPr>
          <w:p>
            <w:r/>
            <w:r>
              <w:rPr>
                <w:sz w:val="18"/>
              </w:rPr>
              <w:t>Community fund and local benefit</w:t>
            </w:r>
          </w:p>
        </w:tc>
        <w:tc>
          <w:tcPr>
            <w:tcW w:type="dxa" w:w="1120"/>
            <w:shd w:val="clear" w:color="auto" w:fill="EEF3F6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120"/>
            <w:shd w:val="clear" w:color="auto" w:fill="EEF3F6"/>
          </w:tcPr>
          <w:p>
            <w:r/>
            <w:r>
              <w:rPr>
                <w:sz w:val="18"/>
              </w:rPr>
              <w:t>41</w:t>
            </w:r>
          </w:p>
        </w:tc>
        <w:tc>
          <w:tcPr>
            <w:tcW w:type="dxa" w:w="1120"/>
            <w:shd w:val="clear" w:color="auto" w:fill="EEF3F6"/>
          </w:tcPr>
          <w:p>
            <w:r/>
            <w:r>
              <w:rPr>
                <w:sz w:val="18"/>
              </w:rPr>
              <w:t>37</w:t>
            </w:r>
          </w:p>
        </w:tc>
        <w:tc>
          <w:tcPr>
            <w:tcW w:type="dxa" w:w="1569"/>
            <w:shd w:val="clear" w:color="auto" w:fill="EEF3F6"/>
          </w:tcPr>
          <w:p>
            <w:r/>
            <w:r>
              <w:rPr>
                <w:sz w:val="18"/>
              </w:rPr>
              <w:t>stable</w:t>
            </w:r>
          </w:p>
        </w:tc>
      </w:tr>
      <w:tr>
        <w:tc>
          <w:tcPr>
            <w:tcW w:type="dxa" w:w="4481"/>
          </w:tcPr>
          <w:p>
            <w:r/>
            <w:r>
              <w:rPr>
                <w:sz w:val="18"/>
              </w:rPr>
              <w:t>Support for local clean energy</w:t>
            </w:r>
          </w:p>
        </w:tc>
        <w:tc>
          <w:tcPr>
            <w:tcW w:type="dxa" w:w="1120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1120"/>
          </w:tcPr>
          <w:p>
            <w:r/>
            <w:r>
              <w:rPr>
                <w:sz w:val="18"/>
              </w:rPr>
              <w:t>68</w:t>
            </w:r>
          </w:p>
        </w:tc>
        <w:tc>
          <w:tcPr>
            <w:tcW w:type="dxa" w:w="1120"/>
          </w:tcPr>
          <w:p>
            <w:r/>
            <w:r>
              <w:rPr>
                <w:sz w:val="18"/>
              </w:rPr>
              <w:t>59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stable</w:t>
            </w:r>
          </w:p>
        </w:tc>
      </w:tr>
    </w:tbl>
    <w:p/>
    <w:p>
      <w:pPr>
        <w:pStyle w:val="Heading2"/>
      </w:pPr>
      <w:r>
        <w:t>3.1 Construction traffic on Mill Lane</w:t>
      </w:r>
    </w:p>
    <w:p>
      <w:r>
        <w:t>Still the most frequently raised concern at #3 (58 mentions), but the tone changed: most comments now ask for enforcement of the CTMP ("who will check the lorries don't come through the village?") rather than rejecting the scheme. We propose a public HGV log and a named contact during construction.</w:t>
      </w:r>
    </w:p>
    <w:p>
      <w:pPr>
        <w:pStyle w:val="Heading2"/>
      </w:pPr>
      <w:r>
        <w:t>3.2 Glare for nearby homes</w:t>
      </w:r>
    </w:p>
    <w:p>
      <w:r>
        <w:t>Mentions fell from 61 to 29 after the glint and glare study was published. Remaining concerns come almost entirely from residents of Mill Lane Cottages, who want the 3 m hedgerow height secured by condition – now proposed.</w:t>
      </w:r>
    </w:p>
    <w:p>
      <w:pPr>
        <w:pStyle w:val="Heading2"/>
      </w:pPr>
      <w:r>
        <w:t>3.3 Skylark nesting habitat</w:t>
      </w:r>
    </w:p>
    <w:p>
      <w:r>
        <w:t>Fairly stable (39 → 31). The local RSPB group asked for the monitoring results to be published; we agreed.</w:t>
      </w:r>
    </w:p>
    <w:p>
      <w:pPr>
        <w:pStyle w:val="Heading2"/>
      </w:pPr>
      <w:r>
        <w:t>3.4 Battery fire safety</w:t>
      </w:r>
    </w:p>
    <w:p>
      <w:r>
        <w:t>Rose sharply between #1 and #2 after national press coverage of a battery fire abroad. The fire service's review of the BSMP was well received at #3.</w:t>
      </w:r>
    </w:p>
    <w:p>
      <w:pPr>
        <w:pStyle w:val="Heading1"/>
      </w:pPr>
      <w:r>
        <w:t>4. Sentiment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1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unity-chart-sentiment-4c5801d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A68"/>
          <w:sz w:val="17"/>
        </w:rPr>
        <w:t>Support, neutral and oppose shares by consultation</w:t>
      </w:r>
    </w:p>
    <w:p>
      <w:pPr>
        <w:pStyle w:val="Heading1"/>
      </w:pPr>
      <w:r>
        <w:t>5. Recommendations</w:t>
      </w:r>
    </w:p>
    <w:p>
      <w:pPr>
        <w:pStyle w:val="ListNumber"/>
      </w:pPr>
      <w:r>
        <w:t>Publish a monthly HGV log during construction and set up a construction hotline.</w:t>
      </w:r>
    </w:p>
    <w:p>
      <w:pPr>
        <w:pStyle w:val="ListNumber"/>
      </w:pPr>
      <w:r>
        <w:t>Share skylark monitoring reports with the RSPB group and the parish council.</w:t>
      </w:r>
    </w:p>
    <w:p>
      <w:pPr>
        <w:pStyle w:val="ListNumber"/>
      </w:pPr>
      <w:r>
        <w:t>Hold a community fund workshop in early 2027, before the planning committee.</w:t>
      </w:r>
    </w:p>
    <w:p>
      <w:pPr>
        <w:pStyle w:val="ListNumber"/>
      </w:pPr>
      <w:r>
        <w:t>Keep the Community Liaison Group running through construction.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1FA2A6"/>
            </w:tcBorders>
          </w:tcPr>
          <w:p>
            <w:r/>
            <w:r>
              <w:rPr>
                <w:sz w:val="19"/>
              </w:rPr>
              <w:t>Numbers for consultation #3 are final as of 2 October (feedback window closed 30 September).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Consultation Feedback Analysis  ·  WE-CE-RPT-2026-07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Consultation Feedback Analysis</dc:title>
  <dc:subject>Millbrook Solar &amp; Storage – consultations #1 to #3</dc:subject>
  <dc:creator>Tom Berger</dc:creator>
  <cp:keywords>draft</cp:keywords>
  <dc:description>generated by python-docx</dc:description>
  <cp:lastModifiedBy>Tom Berger</cp:lastModifiedBy>
  <cp:revision>1</cp:revision>
  <dcterms:created xsi:type="dcterms:W3CDTF">2026-09-22T10:00:00Z</dcterms:created>
  <dcterms:modified xsi:type="dcterms:W3CDTF">2026-10-02T10:00:00Z</dcterms:modified>
  <cp:category/>
</cp:coreProperties>
</file>