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Company Car Policy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04 May 2026  ·  WE-POL-HR-006</w:t>
      </w:r>
    </w:p>
    <w:p>
      <w:pPr>
        <w:pStyle w:val="Heading1"/>
      </w:pPr>
      <w:r>
        <w:t>Eligibility</w:t>
      </w:r>
    </w:p>
    <w:p>
      <w:r>
        <w:t>Band B6 and above, and field roles with more than 15,000 business km per year (site managers, technicians on call).</w:t>
      </w:r>
    </w:p>
    <w:p>
      <w:pPr>
        <w:pStyle w:val="Heading1"/>
      </w:pPr>
      <w:r>
        <w:t>Vehicles</w:t>
      </w:r>
    </w:p>
    <w:p>
      <w:r>
        <w:t>Battery electric vehicles only for new orders since 1 April 2025. Pick-ups for Kestrel Ridge may be plug-in hybrids until a suitable electric 4×4 is available. Leasing via Elbe Fleet Leasing (framework WE-CON-2025-014).</w:t>
      </w:r>
    </w:p>
    <w:p>
      <w:pPr>
        <w:pStyle w:val="Heading1"/>
      </w:pPr>
      <w:r>
        <w:t>Budgets (monthly leasing rate, gross)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UK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EUR 650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GBP 560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B7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EUR 800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GBP 690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Field role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EUR 600 (pool)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GBP 520 (pool)</w:t>
            </w:r>
          </w:p>
        </w:tc>
      </w:tr>
    </w:tbl>
    <w:p/>
    <w:p>
      <w:pPr>
        <w:pStyle w:val="Heading1"/>
      </w:pPr>
      <w:r>
        <w:t>Charging</w:t>
      </w:r>
    </w:p>
    <w:p>
      <w:r>
        <w:t>Home wallbox installed and paid by Weyland; charging at the office is free.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Company Car Policy  ·  WE-POL-HR-006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Car Policy</dc:title>
  <dc:subject/>
  <dc:creator>Julia Hoffmann</dc:creator>
  <cp:keywords/>
  <dc:description>generated by python-docx</dc:description>
  <cp:lastModifiedBy>Julia Hoffmann</cp:lastModifiedBy>
  <cp:revision>1</cp:revision>
  <dcterms:created xsi:type="dcterms:W3CDTF">2025-03-24T10:00:00Z</dcterms:created>
  <dcterms:modified xsi:type="dcterms:W3CDTF">2026-05-04T10:00:00Z</dcterms:modified>
  <cp:category/>
</cp:coreProperties>
</file>