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Monopile Drivability Assessment</w:t>
      </w:r>
    </w:p>
    <w:p>
      <w:r>
        <w:rPr>
          <w:color w:val="1FA2A6"/>
          <w:sz w:val="25"/>
        </w:rPr>
        <w:t>Harrow Bay Offshore Wind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Sofie Lindqvist  ·  16 May 2025  ·  HB-GEO-TN-0014</w:t>
      </w:r>
    </w:p>
    <w:p>
      <w:pPr>
        <w:pStyle w:val="Heading1"/>
      </w:pPr>
      <w:r>
        <w:t>1. Purpose</w:t>
      </w:r>
    </w:p>
    <w:p>
      <w:r>
        <w:t>Confirm that the 9.5 m monopiles can be driven to design embedment with the IHC S-4000 hammer from MV Sea Atlas, and define hammer energy limits for noise and pile run control. Prepared by Oliver Grant.</w:t>
      </w:r>
    </w:p>
    <w:p>
      <w:pPr>
        <w:pStyle w:val="Heading1"/>
      </w:pPr>
      <w:r>
        <w:t>2. Method</w:t>
      </w:r>
    </w:p>
    <w:p>
      <w:r>
        <w:t>1D wave equation analysis (GRLWEAP) with soil resistance to driving (SRD) per Alm &amp; Hamre, calibrated with the CPT profiles of all 40 positions. Upper-bound and best-estimate SRD were analysed.</w:t>
      </w:r>
    </w:p>
    <w:p>
      <w:pPr>
        <w:pStyle w:val="Heading1"/>
      </w:pPr>
      <w:r>
        <w:t>3.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Province</w:t>
            </w:r>
          </w:p>
        </w:tc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Max blow count (bl/0.25 m)</w:t>
            </w:r>
          </w:p>
        </w:tc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Max hammer energy (kJ)</w:t>
            </w:r>
          </w:p>
        </w:tc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Est. driving time (h)</w:t>
            </w:r>
          </w:p>
        </w:tc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Fatigue damage from driving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260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3,600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6.5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0.09</w:t>
            </w:r>
          </w:p>
        </w:tc>
      </w:tr>
      <w:tr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190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3,100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5.2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0.06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140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2,600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4.8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0.05</w:t>
            </w:r>
          </w:p>
        </w:tc>
      </w:tr>
      <w:tr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120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2,400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4.4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0.04</w:t>
            </w:r>
          </w:p>
        </w:tc>
      </w:tr>
    </w:tbl>
    <w:p/>
    <w:p>
      <w:r>
        <w:t>All piles are drivable to design embedment with the best-estimate SRD. For three positions in province A (WTG 03, 07, 11) the upper-bound SRD exceeds the refusal criterion of 250 bl/0.25 m in the last 2 m. Mitigation: relief drilling equipment on standby on the MV Sea Atlas for the first piles in province A.</w:t>
      </w:r>
    </w:p>
    <w:p>
      <w:pPr>
        <w:pStyle w:val="Heading1"/>
      </w:pPr>
      <w:r>
        <w:t>4. Noise</w:t>
      </w:r>
    </w:p>
    <w:p>
      <w:r>
        <w:t>Soft start at 10 % energy for 30 minutes; maximum hammer energy 3,600 kJ with double big bubble curtain. Predicted single-strike sound exposure level at 750 m: 158 dB re 1 µPa²s – below the consent threshold.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Monopile Drivability Assessment  ·  HB-GEO-TN-0014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Monopile Drivability Assessment</dc:title>
  <dc:subject>Harrow Bay Offshore Wind</dc:subject>
  <dc:creator>Sofie Lindqvist</dc:creator>
  <cp:keywords/>
  <dc:description>generated by python-docx</dc:description>
  <cp:lastModifiedBy>Sofie Lindqvist</cp:lastModifiedBy>
  <cp:revision>1</cp:revision>
  <dcterms:created xsi:type="dcterms:W3CDTF">2025-04-07T10:00:00Z</dcterms:created>
  <dcterms:modified xsi:type="dcterms:W3CDTF">2025-05-16T10:00:00Z</dcterms:modified>
  <cp:category/>
</cp:coreProperties>
</file>