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Battery Energy Storage Systems – Design Guideline</w:t>
      </w:r>
    </w:p>
    <w:p>
      <w:r>
        <w:rPr>
          <w:color w:val="1FA2A6"/>
          <w:sz w:val="25"/>
        </w:rPr>
        <w:t>Guideline, Revision 1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Sofie Lindqvist  ·  12 June 2026  ·  WE-ENG-GDL-007</w:t>
      </w:r>
    </w:p>
    <w:p>
      <w:pPr>
        <w:pStyle w:val="Heading1"/>
      </w:pPr>
      <w:r>
        <w:t>1. Purpose</w:t>
      </w:r>
    </w:p>
    <w:p>
      <w:r>
        <w:t>Minimum design requirements for utility-scale BESS. Applies to the 20 MW / 40 MWh system at Millbrook Solar &amp; Storage and to Fenwick Battery Storage (100 MW / 200 MWh). Revision 1 adds lessons from the Millbrook planning process and fire service consultation.</w:t>
      </w:r>
    </w:p>
    <w:p>
      <w:pPr>
        <w:pStyle w:val="Heading1"/>
      </w:pPr>
      <w:r>
        <w:t>2. Cell chemistry and containers</w:t>
      </w:r>
    </w:p>
    <w:p>
      <w:pPr>
        <w:pStyle w:val="ListBullet"/>
      </w:pPr>
      <w:r>
        <w:t>Lithium iron phosphate (LFP) only; NMC is not accepted for utility-scale projects.</w:t>
      </w:r>
    </w:p>
    <w:p>
      <w:pPr>
        <w:pStyle w:val="ListBullet"/>
      </w:pPr>
      <w:r>
        <w:t>Containerised or cabinet systems tested to UL 9540A at cell, module and unit level.</w:t>
      </w:r>
    </w:p>
    <w:p>
      <w:pPr>
        <w:pStyle w:val="ListBullet"/>
      </w:pPr>
      <w:r>
        <w:t>Augmentation strategy defined at FID: either overbuild at day one or planned augmentation in years 6 and 12.</w:t>
      </w:r>
    </w:p>
    <w:p>
      <w:pPr>
        <w:pStyle w:val="Heading1"/>
      </w:pPr>
      <w:r>
        <w:t>3. Fire safety and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Spacing between units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≥ 3 m or manufacturer's large-scale fire test result, whichever is greater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Distance to site boundary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≥ 25 m to nearest dwelling curtilage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Water supply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Hydrant or tank ≥ 228 m³ for 2 h firefighting, agreed with fire and rescue service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Detection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Gas (H2, CO) and smoke detection in each unit, deflagration venting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Access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Two access points for emergency vehicles, 4 m wide perimeter track</w:t>
            </w:r>
          </w:p>
        </w:tc>
      </w:tr>
    </w:tbl>
    <w:p/>
    <w:p>
      <w:pPr>
        <w:pStyle w:val="Heading1"/>
      </w:pPr>
      <w:r>
        <w:t>4. Performance</w:t>
      </w:r>
    </w:p>
    <w:p>
      <w:r>
        <w:t>Round-trip efficiency at the point of connection ≥ 85 % at beginning of life. Degradation warranty to state-of-health ≥ 70 % after 7,300 equivalent full cycles or 20 years.</w:t>
      </w:r>
    </w:p>
    <w:p>
      <w:pPr>
        <w:pStyle w:val="Heading1"/>
      </w:pPr>
      <w:r>
        <w:t>5. Grid interface</w:t>
      </w:r>
    </w:p>
    <w:p>
      <w:r>
        <w:t>Grid-forming capability is a scored criterion in every BESS tender from 2026 onwards.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Open point: fire service feedback on Fenwick concept layout expected in Q4 2026.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Battery Energy Storage Systems – Design Guideline  ·  WE-ENG-GDL-007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Battery Energy Storage Systems – Design Guideline</dc:title>
  <dc:subject>Guideline, Revision 1</dc:subject>
  <dc:creator>Sofie Lindqvist</dc:creator>
  <cp:keywords>in review</cp:keywords>
  <dc:description>generated by python-docx</dc:description>
  <cp:lastModifiedBy>Sofie Lindqvist</cp:lastModifiedBy>
  <cp:revision>1</cp:revision>
  <dcterms:created xsi:type="dcterms:W3CDTF">2025-10-06T10:00:00Z</dcterms:created>
  <dcterms:modified xsi:type="dcterms:W3CDTF">2026-06-12T10:00:00Z</dcterms:modified>
  <cp:category/>
</cp:coreProperties>
</file>