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Utility-Scale Solar PV – Design Guideline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27 November 2025  ·  WE-ENG-GDL-010</w:t>
      </w:r>
    </w:p>
    <w:p>
      <w:pPr>
        <w:pStyle w:val="Heading1"/>
      </w:pPr>
      <w:r>
        <w:t>1. Scope</w:t>
      </w:r>
    </w:p>
    <w:p>
      <w:r>
        <w:t>Design principles for ground-mounted PV plants &gt; 20 MWp. Applied first on Millbrook Solar &amp; Storage (85 MWp).</w:t>
      </w:r>
    </w:p>
    <w:p>
      <w:pPr>
        <w:pStyle w:val="Heading1"/>
      </w:pPr>
      <w:r>
        <w:t>2. Key design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Deviation requires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Modules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Bifacial mono-PERC/TOPCon, ≥ 580 Wp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Head of Engineering approval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Mounting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Single-axis trackers, 1P, backtracking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Yield comparison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DC/AC ratio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1.25–1.35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Clipping analysis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Inverters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Central or string, decided by tender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Ground clearance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≥ 0.8 m (sheep grazing)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Ecology input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Fencing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Deer fence with mammal gaps every 50 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</w:tr>
    </w:tbl>
    <w:p/>
    <w:p>
      <w:pPr>
        <w:pStyle w:val="Heading1"/>
      </w:pPr>
      <w:r>
        <w:t>3. Glint and glare</w:t>
      </w:r>
    </w:p>
    <w:p>
      <w:r>
        <w:t>A glint and glare assessment is required for all receptors within 1 km, including residential properties, roads and aviation. At Millbrook, glare for nearby homes was among the top consultation concerns.</w:t>
      </w:r>
    </w:p>
    <w:p>
      <w:pPr>
        <w:pStyle w:val="Heading1"/>
      </w:pPr>
      <w:r>
        <w:t>4. Biodiversity</w:t>
      </w:r>
    </w:p>
    <w:p>
      <w:r>
        <w:t>Layout shall support at least 10 % biodiversity net gain; Weyland's own target is 20 %, as committed at Millbrook.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Utility-Scale Solar PV – Design Guideline  ·  WE-ENG-GDL-010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Utility-Scale Solar PV – Design Guideline</dc:title>
  <dc:subject/>
  <dc:creator>Sofie Lindqvist</dc:creator>
  <cp:keywords/>
  <dc:description>generated by python-docx</dc:description>
  <cp:lastModifiedBy>Sofie Lindqvist</cp:lastModifiedBy>
  <cp:revision>1</cp:revision>
  <dcterms:created xsi:type="dcterms:W3CDTF">2025-03-03T10:00:00Z</dcterms:created>
  <dcterms:modified xsi:type="dcterms:W3CDTF">2025-11-27T10:00:00Z</dcterms:modified>
  <cp:category/>
</cp:coreProperties>
</file>