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Minutes – DRAFT</w:t>
      </w:r>
    </w:p>
    <w:p>
      <w:r>
        <w:rPr>
          <w:color w:val="1FA2A6"/>
          <w:sz w:val="25"/>
        </w:rPr>
        <w:t>Supervisory Board of Weyland Energy GmbH – Q3 meeting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01 October 2026  ·  WE-SB-MIN-2026-09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72"/>
            <w:shd w:val="clear" w:color="auto" w:fill="0B3C5D"/>
          </w:tcPr>
          <w:p>
            <w:r/>
          </w:p>
        </w:tc>
        <w:tc>
          <w:tcPr>
            <w:tcW w:type="dxa" w:w="7239"/>
            <w:shd w:val="clear" w:color="auto" w:fill="0B3C5D"/>
          </w:tcPr>
          <w:p>
            <w:r/>
          </w:p>
        </w:tc>
      </w:tr>
      <w:tr>
        <w:tc>
          <w:tcPr>
            <w:tcW w:type="dxa" w:w="2172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7239"/>
          </w:tcPr>
          <w:p>
            <w:r/>
            <w:r>
              <w:rPr>
                <w:sz w:val="18"/>
              </w:rPr>
              <w:t>Supervisory Board – Q3 meeting</w:t>
            </w:r>
          </w:p>
        </w:tc>
      </w:tr>
      <w:tr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239"/>
            <w:shd w:val="clear" w:color="auto" w:fill="EEF3F6"/>
          </w:tcPr>
          <w:p>
            <w:r/>
            <w:r>
              <w:rPr>
                <w:sz w:val="18"/>
              </w:rPr>
              <w:t>24 September 2026</w:t>
            </w:r>
          </w:p>
        </w:tc>
      </w:tr>
      <w:tr>
        <w:tc>
          <w:tcPr>
            <w:tcW w:type="dxa" w:w="2172"/>
          </w:tcPr>
          <w:p>
            <w:r/>
            <w:r>
              <w:rPr>
                <w:sz w:val="18"/>
              </w:rPr>
              <w:t>Place</w:t>
            </w:r>
          </w:p>
        </w:tc>
        <w:tc>
          <w:tcPr>
            <w:tcW w:type="dxa" w:w="7239"/>
          </w:tcPr>
          <w:p>
            <w:r/>
            <w:r>
              <w:rPr>
                <w:sz w:val="18"/>
              </w:rPr>
              <w:t>Hamburg HQ, Am Sandtorkai 41</w:t>
            </w:r>
          </w:p>
        </w:tc>
      </w:tr>
      <w:tr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Chair</w:t>
            </w:r>
          </w:p>
        </w:tc>
        <w:tc>
          <w:tcPr>
            <w:tcW w:type="dxa" w:w="7239"/>
            <w:shd w:val="clear" w:color="auto" w:fill="EEF3F6"/>
          </w:tcPr>
          <w:p>
            <w:r/>
            <w:r>
              <w:rPr>
                <w:sz w:val="18"/>
              </w:rPr>
              <w:t>Dr. Karin Albrecht</w:t>
            </w:r>
          </w:p>
        </w:tc>
      </w:tr>
      <w:tr>
        <w:tc>
          <w:tcPr>
            <w:tcW w:type="dxa" w:w="2172"/>
          </w:tcPr>
          <w:p>
            <w:r/>
            <w:r>
              <w:rPr>
                <w:sz w:val="18"/>
              </w:rPr>
              <w:t>Minutes</w:t>
            </w:r>
          </w:p>
        </w:tc>
        <w:tc>
          <w:tcPr>
            <w:tcW w:type="dxa" w:w="7239"/>
          </w:tcPr>
          <w:p>
            <w:r/>
            <w:r>
              <w:rPr>
                <w:sz w:val="18"/>
              </w:rPr>
              <w:t>Lukas Meyer (Board Secretary)</w:t>
            </w:r>
          </w:p>
        </w:tc>
      </w:tr>
    </w:tbl>
    <w:p/>
    <w:p>
      <w:pPr>
        <w:pStyle w:val="Heading1"/>
      </w:pPr>
      <w:r>
        <w:t>Present</w:t>
      </w:r>
    </w:p>
    <w:p>
      <w:pPr>
        <w:pStyle w:val="ListBullet"/>
      </w:pPr>
      <w:r>
        <w:t>Dr. Karin Albrecht (Chair of the Supervisory Board)</w:t>
      </w:r>
    </w:p>
    <w:p>
      <w:pPr>
        <w:pStyle w:val="ListBullet"/>
      </w:pPr>
      <w:r>
        <w:t>Michael Sørensen (Deputy Chair (Nordlicht Infrastructure Partners))</w:t>
      </w:r>
    </w:p>
    <w:p>
      <w:pPr>
        <w:pStyle w:val="ListBullet"/>
      </w:pPr>
      <w:r>
        <w:t>Prof. Dr. Ulrike Brandes (Independent member, Chair of the Audit Committee)</w:t>
      </w:r>
    </w:p>
    <w:p>
      <w:pPr>
        <w:pStyle w:val="ListBullet"/>
      </w:pPr>
      <w:r>
        <w:t>Gareth Hughes (Independent member, offshore wind expert)</w:t>
      </w:r>
    </w:p>
    <w:p>
      <w:pPr>
        <w:pStyle w:val="ListBullet"/>
      </w:pPr>
      <w:r>
        <w:t>Silke Hamann (Employee representative)</w:t>
      </w:r>
    </w:p>
    <w:p>
      <w:pPr>
        <w:pStyle w:val="ListBullet"/>
      </w:pPr>
      <w:r>
        <w:t>Dr. Amara Okafor (CEO)</w:t>
      </w:r>
    </w:p>
    <w:p>
      <w:pPr>
        <w:pStyle w:val="ListBullet"/>
      </w:pPr>
      <w:r>
        <w:t>Jonas Richter (CFO)</w:t>
      </w:r>
    </w:p>
    <w:p>
      <w:pPr>
        <w:pStyle w:val="ListBullet"/>
      </w:pPr>
      <w:r>
        <w:t>Paul Wagner (COO)</w:t>
      </w:r>
    </w:p>
    <w:p>
      <w:r>
        <w:t>The Chair opened the meeting at 10:00, welcomed the members and confirmed that the meeting was duly convened and quorate.</w:t>
      </w:r>
    </w:p>
    <w:p>
      <w:pPr>
        <w:pStyle w:val="Heading1"/>
      </w:pPr>
      <w:r>
        <w:t>Agenda items</w:t>
      </w:r>
    </w:p>
    <w:p>
      <w:pPr>
        <w:pStyle w:val="Heading2"/>
      </w:pPr>
      <w:r>
        <w:t>1. Approval of the minutes of 25 June 2026</w:t>
      </w:r>
    </w:p>
    <w:p>
      <w:r>
        <w:t>The minutes of the previous meeting were approved without changes.</w:t>
      </w:r>
    </w:p>
    <w:p>
      <w:pPr>
        <w:pStyle w:val="Heading2"/>
      </w:pPr>
      <w:r>
        <w:t>2. Harrow Bay – progress and HB-RISK-017 export cable 2 delay</w:t>
      </w:r>
    </w:p>
    <w:p>
      <w:r>
        <w:t>Elena Márquez (invited) presented the status: 13 of 40 monopiles installed by 22 September, offshore substation topside installed on 19 August. Severn Subsea Cables re-manufactures a 9 km section of export cable 2 after the factory test failure of 21 July. Gareth Hughes asked whether liquidated damages cover the standby costs; Priya Nair confirmed delay LDs of up to EUR 11.2 m under WE-CON-2025-031. Katarzyna Nowak reported ISO 27001 readiness at 68 % of controls implemented.</w:t>
      </w:r>
    </w:p>
    <w:p>
      <w:pPr>
        <w:pStyle w:val="Heading2"/>
      </w:pPr>
      <w:r>
        <w:t>3. Forecast 3 (8+4) and budget process 2027</w:t>
      </w:r>
    </w:p>
    <w:p>
      <w:r>
        <w:t>Forecast 3 (8+4) projects revenue of EUR 330.5 m and EBITDA of EUR 151.9 m versus a budget of EUR 334 m / EUR 156 m. Year-to-date August revenue EUR 207.1 m (budget EUR 210.2 m), EBITDA EUR 86.4 m (budget EUR 90.1 m).</w:t>
      </w:r>
    </w:p>
    <w:p>
      <w:pPr>
        <w:pStyle w:val="Heading2"/>
      </w:pPr>
      <w:r>
        <w:t>4. Green Hydrogen Pilot – feasibility study and EU Innovation Fund application</w:t>
      </w:r>
    </w:p>
    <w:p>
      <w:r>
        <w:t>The board took note of the report and the documents provided in the board pack. No further questions were raised.</w:t>
      </w:r>
    </w:p>
    <w:p>
      <w:pPr>
        <w:pStyle w:val="Heading2"/>
      </w:pPr>
      <w:r>
        <w:t>5. Information security – ISO 27001 readiness</w:t>
      </w:r>
    </w:p>
    <w:p>
      <w:r>
        <w:t>The board took note of the report and the documents provided in the board pack. No further questions were raised.</w:t>
      </w:r>
    </w:p>
    <w:p>
      <w:pPr>
        <w:pStyle w:val="Heading2"/>
      </w:pPr>
      <w:r>
        <w:t>6. North Sea Energy Summit 2026 – feedback</w:t>
      </w:r>
    </w:p>
    <w:p>
      <w:r>
        <w:t>The board took note of the report and the documents provided in the board pack. No further questions were raised.</w:t>
      </w:r>
    </w:p>
    <w:p>
      <w:pPr>
        <w:pStyle w:val="Heading1"/>
      </w:pPr>
      <w:r>
        <w:t>Resolutions</w:t>
      </w:r>
    </w:p>
    <w:p>
      <w:pPr>
        <w:pStyle w:val="ListNumber"/>
      </w:pPr>
      <w:r>
        <w:t>The board took note of HB-RISK-017 and the resequenced cable lay campaign; COD of 30 June 2028 remains achievable with float reduced from 14 to 6 weeks.</w:t>
      </w:r>
    </w:p>
    <w:p>
      <w:pPr>
        <w:pStyle w:val="ListNumber"/>
      </w:pPr>
      <w:r>
        <w:t>The board approved the submission of an EU Innovation Fund application for the 5 MW electrolyser at Port of Eastholm (co-funding request EUR 9.8 m).</w:t>
      </w:r>
    </w:p>
    <w:p>
      <w:pPr>
        <w:pStyle w:val="ListNumber"/>
      </w:pPr>
      <w:r>
        <w:t>Budget process 2027 and the board calendar 2027 were approved.</w:t>
      </w:r>
    </w:p>
    <w:p>
      <w:pPr>
        <w:pStyle w:val="Heading1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37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68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34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5378"/>
          </w:tcPr>
          <w:p>
            <w:r/>
            <w:r>
              <w:rPr>
                <w:sz w:val="18"/>
              </w:rPr>
              <w:t>Draft budget 2027</w:t>
            </w:r>
          </w:p>
        </w:tc>
        <w:tc>
          <w:tcPr>
            <w:tcW w:type="dxa" w:w="2689"/>
          </w:tcPr>
          <w:p>
            <w:r/>
            <w:r>
              <w:rPr>
                <w:sz w:val="18"/>
              </w:rPr>
              <w:t>Jonas Richter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2026-12-10</w:t>
            </w:r>
          </w:p>
        </w:tc>
      </w:tr>
      <w:tr>
        <w:tc>
          <w:tcPr>
            <w:tcW w:type="dxa" w:w="5378"/>
            <w:shd w:val="clear" w:color="auto" w:fill="EEF3F6"/>
          </w:tcPr>
          <w:p>
            <w:r/>
            <w:r>
              <w:rPr>
                <w:sz w:val="18"/>
              </w:rPr>
              <w:t>Monthly update on export cable 2 re-manufacture</w:t>
            </w:r>
          </w:p>
        </w:tc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Elena Márquez</w:t>
            </w:r>
          </w:p>
        </w:tc>
        <w:tc>
          <w:tcPr>
            <w:tcW w:type="dxa" w:w="1344"/>
            <w:shd w:val="clear" w:color="auto" w:fill="EEF3F6"/>
          </w:tcPr>
          <w:p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5378"/>
          </w:tcPr>
          <w:p>
            <w:r/>
            <w:r>
              <w:rPr>
                <w:sz w:val="18"/>
              </w:rPr>
              <w:t>Stage 1 audit ISO 27001 – date confirmation</w:t>
            </w:r>
          </w:p>
        </w:tc>
        <w:tc>
          <w:tcPr>
            <w:tcW w:type="dxa" w:w="2689"/>
          </w:tcPr>
          <w:p>
            <w:r/>
            <w:r>
              <w:rPr>
                <w:sz w:val="18"/>
              </w:rPr>
              <w:t>Katarzyna Nowak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2026-11-30</w:t>
            </w:r>
          </w:p>
        </w:tc>
      </w:tr>
    </w:tbl>
    <w:p/>
    <w:p>
      <w:r>
        <w:t>There being no further business, the Chair closed the meeting.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Minutes – DRAFT  ·  WE-SB-MIN-2026-09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– DRAFT</dc:title>
  <dc:subject>Supervisory Board of Weyland Energy GmbH – Q3 meeting</dc:subject>
  <dc:creator>Dr. Amara Okafor</dc:creator>
  <cp:keywords>draft, board</cp:keywords>
  <dc:description>generated by python-docx</dc:description>
  <cp:lastModifiedBy>Dr. Amara Okafor</cp:lastModifiedBy>
  <cp:revision>1</cp:revision>
  <dcterms:created xsi:type="dcterms:W3CDTF">2026-09-27T10:00:00Z</dcterms:created>
  <dcterms:modified xsi:type="dcterms:W3CDTF">2026-10-01T10:00:00Z</dcterms:modified>
  <cp:category/>
</cp:coreProperties>
</file>