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B3C5D"/>
          <w:sz w:val="44"/>
        </w:rPr>
        <w:t>CEO Update – March 2026</w:t>
      </w:r>
    </w:p>
    <w:p>
      <w:r>
        <w:rPr>
          <w:color w:val="1FA2A6"/>
          <w:sz w:val="25"/>
        </w:rPr>
        <w:t>To the members of the Supervisory Board</w:t>
      </w:r>
    </w:p>
    <w:p>
      <w:pPr>
        <w:pBdr>
          <w:bottom w:val="single" w:sz="12" w:space="6" w:color="1FA2A6"/>
        </w:pBdr>
      </w:pPr>
      <w:r>
        <w:rPr>
          <w:color w:val="4A5A68"/>
          <w:sz w:val="18"/>
        </w:rPr>
        <w:t>Dr. Amara Okafor  ·  14 April 2026</w:t>
      </w:r>
    </w:p>
    <w:p>
      <w:r>
        <w:t>Dear members of the Supervisory Board,</w:t>
      </w:r>
    </w:p>
    <w:p>
      <w:r>
        <w:t>please find below my update for March 2026. March was a month of milestones – FID behind us, the strategy approved and the annual report published.</w:t>
      </w:r>
    </w:p>
    <w:p>
      <w:pPr>
        <w:pStyle w:val="Heading1"/>
      </w:pPr>
      <w:r>
        <w:t>Business performance</w:t>
      </w:r>
    </w:p>
    <w:p>
      <w:r>
        <w:t>Revenue in March was EUR 31.5 m, EUR 0.4 m above budget – strong wind month and higher day-ahead prices; first full month with all Kestrel Ridge turbines available. Year to date we stand at EUR 95.0 m revenue (budget EUR 97.3 m) and EUR 50.9 m EBITDA (budget EUR 53.8 m).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EUR m</w:t>
            </w:r>
          </w:p>
        </w:tc>
        <w:tc>
          <w:tcPr>
            <w:tcW w:type="dxa" w:w="1882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March</w:t>
            </w:r>
          </w:p>
        </w:tc>
        <w:tc>
          <w:tcPr>
            <w:tcW w:type="dxa" w:w="1882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Budget</w:t>
            </w:r>
          </w:p>
        </w:tc>
        <w:tc>
          <w:tcPr>
            <w:tcW w:type="dxa" w:w="1882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YTD actual</w:t>
            </w:r>
          </w:p>
        </w:tc>
        <w:tc>
          <w:tcPr>
            <w:tcW w:type="dxa" w:w="1882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YTD budget</w:t>
            </w:r>
          </w:p>
        </w:tc>
      </w:tr>
      <w:tr>
        <w:tc>
          <w:tcPr>
            <w:tcW w:type="dxa" w:w="1882"/>
          </w:tcPr>
          <w:p>
            <w:r/>
            <w:r>
              <w:rPr>
                <w:sz w:val="18"/>
              </w:rPr>
              <w:t>Revenue</w:t>
            </w:r>
          </w:p>
        </w:tc>
        <w:tc>
          <w:tcPr>
            <w:tcW w:type="dxa" w:w="1882"/>
          </w:tcPr>
          <w:p>
            <w:r/>
            <w:r>
              <w:rPr>
                <w:sz w:val="18"/>
              </w:rPr>
              <w:t>31.5</w:t>
            </w:r>
          </w:p>
        </w:tc>
        <w:tc>
          <w:tcPr>
            <w:tcW w:type="dxa" w:w="1882"/>
          </w:tcPr>
          <w:p>
            <w:r/>
            <w:r>
              <w:rPr>
                <w:sz w:val="18"/>
              </w:rPr>
              <w:t>31.1</w:t>
            </w:r>
          </w:p>
        </w:tc>
        <w:tc>
          <w:tcPr>
            <w:tcW w:type="dxa" w:w="1882"/>
          </w:tcPr>
          <w:p>
            <w:r/>
            <w:r>
              <w:rPr>
                <w:sz w:val="18"/>
              </w:rPr>
              <w:t>95.0</w:t>
            </w:r>
          </w:p>
        </w:tc>
        <w:tc>
          <w:tcPr>
            <w:tcW w:type="dxa" w:w="1882"/>
          </w:tcPr>
          <w:p>
            <w:r/>
            <w:r>
              <w:rPr>
                <w:sz w:val="18"/>
              </w:rPr>
              <w:t>97.3</w:t>
            </w:r>
          </w:p>
        </w:tc>
      </w:tr>
      <w:tr>
        <w:tc>
          <w:tcPr>
            <w:tcW w:type="dxa" w:w="1882"/>
            <w:shd w:val="clear" w:color="auto" w:fill="EEF3F6"/>
          </w:tcPr>
          <w:p>
            <w:r/>
            <w:r>
              <w:rPr>
                <w:sz w:val="18"/>
              </w:rPr>
              <w:t>EBITDA</w:t>
            </w:r>
          </w:p>
        </w:tc>
        <w:tc>
          <w:tcPr>
            <w:tcW w:type="dxa" w:w="1882"/>
            <w:shd w:val="clear" w:color="auto" w:fill="EEF3F6"/>
          </w:tcPr>
          <w:p>
            <w:r/>
            <w:r>
              <w:rPr>
                <w:sz w:val="18"/>
              </w:rPr>
              <w:t>16.9</w:t>
            </w:r>
          </w:p>
        </w:tc>
        <w:tc>
          <w:tcPr>
            <w:tcW w:type="dxa" w:w="1882"/>
            <w:shd w:val="clear" w:color="auto" w:fill="EEF3F6"/>
          </w:tcPr>
          <w:p>
            <w:r/>
            <w:r>
              <w:rPr>
                <w:sz w:val="18"/>
              </w:rPr>
              <w:t>16.4</w:t>
            </w:r>
          </w:p>
        </w:tc>
        <w:tc>
          <w:tcPr>
            <w:tcW w:type="dxa" w:w="1882"/>
            <w:shd w:val="clear" w:color="auto" w:fill="EEF3F6"/>
          </w:tcPr>
          <w:p>
            <w:r/>
            <w:r>
              <w:rPr>
                <w:sz w:val="18"/>
              </w:rPr>
              <w:t>50.9</w:t>
            </w:r>
          </w:p>
        </w:tc>
        <w:tc>
          <w:tcPr>
            <w:tcW w:type="dxa" w:w="1882"/>
            <w:shd w:val="clear" w:color="auto" w:fill="EEF3F6"/>
          </w:tcPr>
          <w:p>
            <w:r/>
            <w:r>
              <w:rPr>
                <w:sz w:val="18"/>
              </w:rPr>
              <w:t>53.8</w:t>
            </w:r>
          </w:p>
        </w:tc>
      </w:tr>
    </w:tbl>
    <w:p/>
    <w:p>
      <w:pPr>
        <w:pStyle w:val="Heading1"/>
      </w:pPr>
      <w:r>
        <w:t>Highlights</w:t>
      </w:r>
    </w:p>
    <w:p>
      <w:pPr>
        <w:pStyle w:val="ListBullet"/>
      </w:pPr>
      <w:r>
        <w:t>Annual Report 2025 published on 26 March</w:t>
      </w:r>
    </w:p>
    <w:p>
      <w:pPr>
        <w:pStyle w:val="ListBullet"/>
      </w:pPr>
      <w:r>
        <w:t>Strategy 2030 town hall with 380 participants on 31 March</w:t>
      </w:r>
    </w:p>
    <w:p>
      <w:pPr>
        <w:pStyle w:val="ListBullet"/>
      </w:pPr>
      <w:r>
        <w:t>Harrow Bay: MV Sea Atlas mobilised at Port of Eastholm, first monopile planned for 7 April</w:t>
      </w:r>
    </w:p>
    <w:p>
      <w:pPr>
        <w:pStyle w:val="ListBullet"/>
      </w:pPr>
      <w:r>
        <w:t>Millbrook: first public consultation on 11 March with around 140 visitors</w:t>
      </w:r>
    </w:p>
    <w:p>
      <w:pPr>
        <w:pStyle w:val="Heading1"/>
      </w:pPr>
      <w:r>
        <w:t>Looking ahead</w:t>
      </w:r>
    </w:p>
    <w:p>
      <w:r>
        <w:t>My focus for the coming weeks is the construction programme at Harrow Bay and keeping our cost base flat while we grow.</w:t>
      </w:r>
    </w:p>
    <w:p>
      <w:r>
        <w:t xml:space="preserve">Kind regards,  </w:t>
        <w:br/>
        <w:t>Amara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4A5A68"/>
        <w:sz w:val="16"/>
      </w:rPr>
      <w:t>CEO Update – March 2026</w:t>
      <w:tab/>
      <w:tab/>
      <w:t xml:space="preserve">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0B3C5D"/>
        <w:sz w:val="18"/>
      </w:rPr>
      <w:t>WEYLAND</w:t>
    </w:r>
    <w:r>
      <w:rPr>
        <w:color w:val="1FA2A6"/>
        <w:sz w:val="18"/>
      </w:rPr>
      <w:t xml:space="preserve"> ENERGY</w:t>
    </w:r>
    <w:r>
      <w:rPr>
        <w:b/>
        <w:color w:val="E4572E"/>
        <w:sz w:val="16"/>
      </w:rPr>
      <w:tab/>
      <w:tab/>
      <w:t>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CEO Update – March 2026</dc:title>
  <dc:subject>To the members of the Supervisory Board</dc:subject>
  <dc:creator>Dr. Amara Okafor</dc:creator>
  <cp:keywords/>
  <dc:description>generated by python-docx</dc:description>
  <cp:lastModifiedBy>Dr. Amara Okafor</cp:lastModifiedBy>
  <cp:revision>1</cp:revision>
  <dcterms:created xsi:type="dcterms:W3CDTF">2026-04-14T10:00:00Z</dcterms:created>
  <dcterms:modified xsi:type="dcterms:W3CDTF">2026-04-14T10:00:00Z</dcterms:modified>
  <cp:category/>
</cp:coreProperties>
</file>