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Fenwick – Land Option Agreement Summary</w:t>
      </w:r>
    </w:p>
    <w:p>
      <w:r>
        <w:rPr>
          <w:color w:val="1FA2A6"/>
          <w:sz w:val="25"/>
        </w:rPr>
        <w:t>Option for lease – signed 30 April 2026</w:t>
      </w:r>
    </w:p>
    <w:p>
      <w:pPr>
        <w:pBdr>
          <w:bottom w:val="single" w:sz="12" w:space="6" w:color="1FA2A6"/>
        </w:pBdr>
      </w:pPr>
      <w:r>
        <w:rPr>
          <w:color w:val="4A5A68"/>
          <w:sz w:val="18"/>
        </w:rPr>
        <w:t>Priya Nair  ·  14 May 2026  ·  FW-LEG-SUM-0001</w:t>
      </w:r>
    </w:p>
    <w:p>
      <w:pPr>
        <w:pStyle w:val="Heading1"/>
      </w:pPr>
      <w:r>
        <w:t>1. Key terms at a glance</w:t>
      </w:r>
    </w:p>
    <w:tbl>
      <w:tblPr>
        <w:tblStyle w:val="TableGrid"/>
        <w:tblW w:type="auto" w:w="0"/>
        <w:jc w:val="center"/>
        <w:tblLook w:firstColumn="1" w:firstRow="1" w:lastColumn="0" w:lastRow="0" w:noHBand="0" w:noVBand="1" w:val="04A0"/>
      </w:tblPr>
      <w:tblGrid>
        <w:gridCol w:w="4706"/>
        <w:gridCol w:w="4706"/>
      </w:tblGrid>
      <w:tr>
        <w:tc>
          <w:tcPr>
            <w:tcW w:type="dxa" w:w="2768"/>
            <w:shd w:val="clear" w:color="auto" w:fill="0B3C5D"/>
          </w:tcPr>
          <w:p>
            <w:r/>
            <w:r>
              <w:rPr>
                <w:b/>
                <w:color w:val="FFFFFF"/>
                <w:sz w:val="18"/>
              </w:rPr>
              <w:t>Term</w:t>
            </w:r>
          </w:p>
        </w:tc>
        <w:tc>
          <w:tcPr>
            <w:tcW w:type="dxa" w:w="6643"/>
            <w:shd w:val="clear" w:color="auto" w:fill="0B3C5D"/>
          </w:tcPr>
          <w:p>
            <w:r/>
            <w:r>
              <w:rPr>
                <w:b/>
                <w:color w:val="FFFFFF"/>
                <w:sz w:val="18"/>
              </w:rPr>
              <w:t>Agreed position</w:t>
            </w:r>
          </w:p>
        </w:tc>
      </w:tr>
      <w:tr>
        <w:tc>
          <w:tcPr>
            <w:tcW w:type="dxa" w:w="2768"/>
          </w:tcPr>
          <w:p>
            <w:r/>
            <w:r>
              <w:rPr>
                <w:sz w:val="18"/>
              </w:rPr>
              <w:t>Grantor</w:t>
            </w:r>
          </w:p>
        </w:tc>
        <w:tc>
          <w:tcPr>
            <w:tcW w:type="dxa" w:w="6643"/>
          </w:tcPr>
          <w:p>
            <w:r/>
            <w:r>
              <w:rPr>
                <w:sz w:val="18"/>
              </w:rPr>
              <w:t>Hallam Farms Partnership (two partners), Fenwick</w:t>
            </w:r>
          </w:p>
        </w:tc>
      </w:tr>
      <w:tr>
        <w:tc>
          <w:tcPr>
            <w:tcW w:type="dxa" w:w="2768"/>
            <w:shd w:val="clear" w:color="auto" w:fill="EEF3F6"/>
          </w:tcPr>
          <w:p>
            <w:r/>
            <w:r>
              <w:rPr>
                <w:sz w:val="18"/>
              </w:rPr>
              <w:t>Grantee</w:t>
            </w:r>
          </w:p>
        </w:tc>
        <w:tc>
          <w:tcPr>
            <w:tcW w:type="dxa" w:w="6643"/>
            <w:shd w:val="clear" w:color="auto" w:fill="EEF3F6"/>
          </w:tcPr>
          <w:p>
            <w:r/>
            <w:r>
              <w:rPr>
                <w:sz w:val="18"/>
              </w:rPr>
              <w:t>Weyland Energy GmbH, via SPV Fenwick Storage Ltd (to be incorporated)</w:t>
            </w:r>
          </w:p>
        </w:tc>
      </w:tr>
      <w:tr>
        <w:tc>
          <w:tcPr>
            <w:tcW w:type="dxa" w:w="2768"/>
          </w:tcPr>
          <w:p>
            <w:r/>
            <w:r>
              <w:rPr>
                <w:sz w:val="18"/>
              </w:rPr>
              <w:t>Date signed</w:t>
            </w:r>
          </w:p>
        </w:tc>
        <w:tc>
          <w:tcPr>
            <w:tcW w:type="dxa" w:w="6643"/>
          </w:tcPr>
          <w:p>
            <w:r/>
            <w:r>
              <w:rPr>
                <w:sz w:val="18"/>
              </w:rPr>
              <w:t>30 April 2026</w:t>
            </w:r>
          </w:p>
        </w:tc>
      </w:tr>
      <w:tr>
        <w:tc>
          <w:tcPr>
            <w:tcW w:type="dxa" w:w="2768"/>
            <w:shd w:val="clear" w:color="auto" w:fill="EEF3F6"/>
          </w:tcPr>
          <w:p>
            <w:r/>
            <w:r>
              <w:rPr>
                <w:sz w:val="18"/>
              </w:rPr>
              <w:t>Option area</w:t>
            </w:r>
          </w:p>
        </w:tc>
        <w:tc>
          <w:tcPr>
            <w:tcW w:type="dxa" w:w="6643"/>
            <w:shd w:val="clear" w:color="auto" w:fill="EEF3F6"/>
          </w:tcPr>
          <w:p>
            <w:r/>
            <w:r>
              <w:rPr>
                <w:sz w:val="18"/>
              </w:rPr>
              <w:t>6.2 ha east of Fenwick 132 kV substation, plus access and cable easements</w:t>
            </w:r>
          </w:p>
        </w:tc>
      </w:tr>
      <w:tr>
        <w:tc>
          <w:tcPr>
            <w:tcW w:type="dxa" w:w="2768"/>
          </w:tcPr>
          <w:p>
            <w:r/>
            <w:r>
              <w:rPr>
                <w:sz w:val="18"/>
              </w:rPr>
              <w:t>Option period</w:t>
            </w:r>
          </w:p>
        </w:tc>
        <w:tc>
          <w:tcPr>
            <w:tcW w:type="dxa" w:w="6643"/>
          </w:tcPr>
          <w:p>
            <w:r/>
            <w:r>
              <w:rPr>
                <w:sz w:val="18"/>
              </w:rPr>
              <w:t>5 years from signature, extendable once by 2 years if the grid offer is delayed</w:t>
            </w:r>
          </w:p>
        </w:tc>
      </w:tr>
      <w:tr>
        <w:tc>
          <w:tcPr>
            <w:tcW w:type="dxa" w:w="2768"/>
            <w:shd w:val="clear" w:color="auto" w:fill="EEF3F6"/>
          </w:tcPr>
          <w:p>
            <w:r/>
            <w:r>
              <w:rPr>
                <w:sz w:val="18"/>
              </w:rPr>
              <w:t>Option fee</w:t>
            </w:r>
          </w:p>
        </w:tc>
        <w:tc>
          <w:tcPr>
            <w:tcW w:type="dxa" w:w="6643"/>
            <w:shd w:val="clear" w:color="auto" w:fill="EEF3F6"/>
          </w:tcPr>
          <w:p>
            <w:r/>
            <w:r>
              <w:rPr>
                <w:sz w:val="18"/>
              </w:rPr>
              <w:t>EUR 20,000 on signature; EUR 15,000 per year thereafter; EUR 25,000 on grant of planning consent</w:t>
            </w:r>
          </w:p>
        </w:tc>
      </w:tr>
      <w:tr>
        <w:tc>
          <w:tcPr>
            <w:tcW w:type="dxa" w:w="2768"/>
          </w:tcPr>
          <w:p>
            <w:r/>
            <w:r>
              <w:rPr>
                <w:sz w:val="18"/>
              </w:rPr>
              <w:t>Lease term (on exercise)</w:t>
            </w:r>
          </w:p>
        </w:tc>
        <w:tc>
          <w:tcPr>
            <w:tcW w:type="dxa" w:w="6643"/>
          </w:tcPr>
          <w:p>
            <w:r/>
            <w:r>
              <w:rPr>
                <w:sz w:val="18"/>
              </w:rPr>
              <w:t>40 years incl. construction and decommissioning</w:t>
            </w:r>
          </w:p>
        </w:tc>
      </w:tr>
      <w:tr>
        <w:tc>
          <w:tcPr>
            <w:tcW w:type="dxa" w:w="2768"/>
            <w:shd w:val="clear" w:color="auto" w:fill="EEF3F6"/>
          </w:tcPr>
          <w:p>
            <w:r/>
            <w:r>
              <w:rPr>
                <w:sz w:val="18"/>
              </w:rPr>
              <w:t>Rent</w:t>
            </w:r>
          </w:p>
        </w:tc>
        <w:tc>
          <w:tcPr>
            <w:tcW w:type="dxa" w:w="6643"/>
            <w:shd w:val="clear" w:color="auto" w:fill="EEF3F6"/>
          </w:tcPr>
          <w:p>
            <w:r/>
            <w:r>
              <w:rPr>
                <w:sz w:val="18"/>
              </w:rPr>
              <w:t>EUR 1,050 per MW installed per year (min. EUR 95,000 p.a.), indexed to CPI, reviewed every 5 years</w:t>
            </w:r>
          </w:p>
        </w:tc>
      </w:tr>
      <w:tr>
        <w:tc>
          <w:tcPr>
            <w:tcW w:type="dxa" w:w="2768"/>
          </w:tcPr>
          <w:p>
            <w:r/>
            <w:r>
              <w:rPr>
                <w:sz w:val="18"/>
              </w:rPr>
              <w:t>Break rights</w:t>
            </w:r>
          </w:p>
        </w:tc>
        <w:tc>
          <w:tcPr>
            <w:tcW w:type="dxa" w:w="6643"/>
          </w:tcPr>
          <w:p>
            <w:r/>
            <w:r>
              <w:rPr>
                <w:sz w:val="18"/>
              </w:rPr>
              <w:t>Tenant only: after year 15 and every 5 years thereafter, 12 months' notice</w:t>
            </w:r>
          </w:p>
        </w:tc>
      </w:tr>
      <w:tr>
        <w:tc>
          <w:tcPr>
            <w:tcW w:type="dxa" w:w="2768"/>
            <w:shd w:val="clear" w:color="auto" w:fill="EEF3F6"/>
          </w:tcPr>
          <w:p>
            <w:r/>
            <w:r>
              <w:rPr>
                <w:sz w:val="18"/>
              </w:rPr>
              <w:t>Decommissioning</w:t>
            </w:r>
          </w:p>
        </w:tc>
        <w:tc>
          <w:tcPr>
            <w:tcW w:type="dxa" w:w="6643"/>
            <w:shd w:val="clear" w:color="auto" w:fill="EEF3F6"/>
          </w:tcPr>
          <w:p>
            <w:r/>
            <w:r>
              <w:rPr>
                <w:sz w:val="18"/>
              </w:rPr>
              <w:t>Restoration to agricultural use; bond from year 20 (EUR 400,000, indexed)</w:t>
            </w:r>
          </w:p>
        </w:tc>
      </w:tr>
      <w:tr>
        <w:tc>
          <w:tcPr>
            <w:tcW w:type="dxa" w:w="2768"/>
          </w:tcPr>
          <w:p>
            <w:r/>
            <w:r>
              <w:rPr>
                <w:sz w:val="18"/>
              </w:rPr>
              <w:t>Exclusivity</w:t>
            </w:r>
          </w:p>
        </w:tc>
        <w:tc>
          <w:tcPr>
            <w:tcW w:type="dxa" w:w="6643"/>
          </w:tcPr>
          <w:p>
            <w:r/>
            <w:r>
              <w:rPr>
                <w:sz w:val="18"/>
              </w:rPr>
              <w:t>No competing energy uses on the farm within 2 km during the option period</w:t>
            </w:r>
          </w:p>
        </w:tc>
      </w:tr>
    </w:tbl>
    <w:p>
      <w:r>
        <w:rPr>
          <w:i/>
          <w:color w:val="4A5A68"/>
          <w:sz w:val="17"/>
        </w:rPr>
        <w:t>Table 1 – Summary of key commercial terms</w:t>
      </w:r>
    </w:p>
    <w:p>
      <w:pPr>
        <w:pStyle w:val="Heading1"/>
      </w:pPr>
      <w:r>
        <w:t>2. Background</w:t>
      </w:r>
    </w:p>
    <w:p>
      <w:r>
        <w:t xml:space="preserve">The site was identified in the November 2025 site screening (FW-GEN-RPT-0001). Heads of terms were agreed in February 2026; Kwame Mensah led the commercial negotiation, Priya Nair and Lukas Meyer (Legal &amp; Contracts) the legal drafting. The agreement was signed by both partners of Hallam Farms Partnership and by Liam McAllister under power of attorney on </w:t>
      </w:r>
      <w:r>
        <w:rPr>
          <w:b/>
        </w:rPr>
        <w:t>30 April 2026</w:t>
      </w:r>
      <w:r>
        <w:t>.</w:t>
      </w:r>
    </w:p>
    <w:p>
      <w:pPr>
        <w:pStyle w:val="Heading1"/>
      </w:pPr>
      <w:r>
        <w:t>3. Conditions for exercise</w:t>
      </w:r>
    </w:p>
    <w:p>
      <w:pPr>
        <w:pStyle w:val="ListBullet"/>
      </w:pPr>
      <w:r>
        <w:t>Grid connection offer accepted for at least 90 MW export capacity.</w:t>
      </w:r>
    </w:p>
    <w:p>
      <w:pPr>
        <w:pStyle w:val="ListBullet"/>
      </w:pPr>
      <w:r>
        <w:t>Planning consent granted and judicial review period expired (or deemed permission).</w:t>
      </w:r>
    </w:p>
    <w:p>
      <w:pPr>
        <w:pStyle w:val="ListBullet"/>
      </w:pPr>
      <w:r>
        <w:t>Satisfactory title and searches; no restrictive covenants against energy use.</w:t>
      </w:r>
    </w:p>
    <w:p>
      <w:pPr>
        <w:pStyle w:val="ListBullet"/>
      </w:pPr>
      <w:r>
        <w:t>Notice of exercise served at least 3 months before the start of construction.</w:t>
      </w:r>
    </w:p>
    <w:p>
      <w:pPr>
        <w:pStyle w:val="Heading1"/>
      </w:pPr>
      <w:r>
        <w:t>4. Landowner obligations during the option</w:t>
      </w:r>
    </w:p>
    <w:p>
      <w:pPr>
        <w:pStyle w:val="ListBullet"/>
      </w:pPr>
      <w:r>
        <w:t>Allow surveys (ecology, ground investigation, noise, archaeology) on 7 days' notice.</w:t>
      </w:r>
    </w:p>
    <w:p>
      <w:pPr>
        <w:pStyle w:val="ListBullet"/>
      </w:pPr>
      <w:r>
        <w:t>Cooperate with planning and grid applications; sign landowner certificates.</w:t>
      </w:r>
    </w:p>
    <w:p>
      <w:pPr>
        <w:pStyle w:val="ListBullet"/>
      </w:pPr>
      <w:r>
        <w:t>Continue grazing; no new tree planting or drainage works in the option area without consent.</w:t>
      </w:r>
    </w:p>
    <w:p>
      <w:pPr>
        <w:pStyle w:val="ListBullet"/>
      </w:pPr>
      <w:r>
        <w:t>Do not grant rights to third parties that could hinder the project.</w:t>
      </w:r>
    </w:p>
    <w:p>
      <w:pPr>
        <w:pStyle w:val="Heading1"/>
      </w:pPr>
      <w:r>
        <w:t>5. Risks and comments from Legal</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The extension right (2 years) only applies if the grid offer is delayed beyond Q4 2027. Given that the grid offer is expected in Q2 2027, there is reasonable headroom, but a later connection date in the offer itself (e.g. 2031) is not a trigger. See risk FW-RISK-004.</w:t>
            </w:r>
          </w:p>
        </w:tc>
      </w:tr>
    </w:tbl>
    <w:p/>
    <w:p>
      <w:pPr>
        <w:pStyle w:val="ListBullet"/>
      </w:pPr>
      <w:r>
        <w:t>The access easement crosses a field let to a tenant farmer – tenant consent obtained (side letter, 28 April 2026).</w:t>
      </w:r>
    </w:p>
    <w:p>
      <w:pPr>
        <w:pStyle w:val="ListBullet"/>
      </w:pPr>
      <w:r>
        <w:t>Mines and minerals are excepted from the landowner's title – coal mining report to be obtained.</w:t>
      </w:r>
    </w:p>
    <w:p>
      <w:pPr>
        <w:pStyle w:val="ListBullet"/>
      </w:pPr>
      <w:r>
        <w:t>Stamp duty land tax on the lease to be assessed at exercise; modelled in the development budget.</w:t>
      </w:r>
    </w:p>
    <w:p>
      <w:pPr>
        <w:pStyle w:val="Heading1"/>
      </w:pPr>
      <w:r>
        <w:t>6. Payments schedule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3C5D"/>
          </w:tcPr>
          <w:p>
            <w:r/>
            <w:r>
              <w:rPr>
                <w:b/>
                <w:color w:val="FFFFFF"/>
                <w:sz w:val="18"/>
              </w:rPr>
              <w:t>Date</w:t>
            </w:r>
          </w:p>
        </w:tc>
        <w:tc>
          <w:tcPr>
            <w:tcW w:type="dxa" w:w="2353"/>
            <w:shd w:val="clear" w:color="auto" w:fill="0B3C5D"/>
          </w:tcPr>
          <w:p>
            <w:r/>
            <w:r>
              <w:rPr>
                <w:b/>
                <w:color w:val="FFFFFF"/>
                <w:sz w:val="18"/>
              </w:rPr>
              <w:t>Payment</w:t>
            </w:r>
          </w:p>
        </w:tc>
        <w:tc>
          <w:tcPr>
            <w:tcW w:type="dxa" w:w="2353"/>
            <w:shd w:val="clear" w:color="auto" w:fill="0B3C5D"/>
          </w:tcPr>
          <w:p>
            <w:r/>
            <w:r>
              <w:rPr>
                <w:b/>
                <w:color w:val="FFFFFF"/>
                <w:sz w:val="18"/>
              </w:rPr>
              <w:t>Amount (EUR)</w:t>
            </w:r>
          </w:p>
        </w:tc>
        <w:tc>
          <w:tcPr>
            <w:tcW w:type="dxa" w:w="2353"/>
            <w:shd w:val="clear" w:color="auto" w:fill="0B3C5D"/>
          </w:tcPr>
          <w:p>
            <w:r/>
            <w:r>
              <w:rPr>
                <w:b/>
                <w:color w:val="FFFFFF"/>
                <w:sz w:val="18"/>
              </w:rPr>
              <w:t>Status</w:t>
            </w:r>
          </w:p>
        </w:tc>
      </w:tr>
      <w:tr>
        <w:tc>
          <w:tcPr>
            <w:tcW w:type="dxa" w:w="2353"/>
          </w:tcPr>
          <w:p>
            <w:r/>
            <w:r>
              <w:rPr>
                <w:sz w:val="18"/>
              </w:rPr>
              <w:t>2026-05-14</w:t>
            </w:r>
          </w:p>
        </w:tc>
        <w:tc>
          <w:tcPr>
            <w:tcW w:type="dxa" w:w="2353"/>
          </w:tcPr>
          <w:p>
            <w:r/>
            <w:r>
              <w:rPr>
                <w:sz w:val="18"/>
              </w:rPr>
              <w:t>Option fee on signature</w:t>
            </w:r>
          </w:p>
        </w:tc>
        <w:tc>
          <w:tcPr>
            <w:tcW w:type="dxa" w:w="2353"/>
          </w:tcPr>
          <w:p>
            <w:r/>
            <w:r>
              <w:rPr>
                <w:sz w:val="18"/>
              </w:rPr>
              <w:t>20,000</w:t>
            </w:r>
          </w:p>
        </w:tc>
        <w:tc>
          <w:tcPr>
            <w:tcW w:type="dxa" w:w="2353"/>
          </w:tcPr>
          <w:p>
            <w:r/>
            <w:r>
              <w:rPr>
                <w:sz w:val="18"/>
              </w:rPr>
              <w:t>Paid</w:t>
            </w:r>
          </w:p>
        </w:tc>
      </w:tr>
      <w:tr>
        <w:tc>
          <w:tcPr>
            <w:tcW w:type="dxa" w:w="2353"/>
            <w:shd w:val="clear" w:color="auto" w:fill="EEF3F6"/>
          </w:tcPr>
          <w:p>
            <w:r/>
            <w:r>
              <w:rPr>
                <w:sz w:val="18"/>
              </w:rPr>
              <w:t>2027-04-30</w:t>
            </w:r>
          </w:p>
        </w:tc>
        <w:tc>
          <w:tcPr>
            <w:tcW w:type="dxa" w:w="2353"/>
            <w:shd w:val="clear" w:color="auto" w:fill="EEF3F6"/>
          </w:tcPr>
          <w:p>
            <w:r/>
            <w:r>
              <w:rPr>
                <w:sz w:val="18"/>
              </w:rPr>
              <w:t>Annual option fee, year 2</w:t>
            </w:r>
          </w:p>
        </w:tc>
        <w:tc>
          <w:tcPr>
            <w:tcW w:type="dxa" w:w="2353"/>
            <w:shd w:val="clear" w:color="auto" w:fill="EEF3F6"/>
          </w:tcPr>
          <w:p>
            <w:r/>
            <w:r>
              <w:rPr>
                <w:sz w:val="18"/>
              </w:rPr>
              <w:t>15,000</w:t>
            </w:r>
          </w:p>
        </w:tc>
        <w:tc>
          <w:tcPr>
            <w:tcW w:type="dxa" w:w="2353"/>
            <w:shd w:val="clear" w:color="auto" w:fill="EEF3F6"/>
          </w:tcPr>
          <w:p>
            <w:r/>
            <w:r>
              <w:rPr>
                <w:sz w:val="18"/>
              </w:rPr>
              <w:t>Scheduled</w:t>
            </w:r>
          </w:p>
        </w:tc>
      </w:tr>
      <w:tr>
        <w:tc>
          <w:tcPr>
            <w:tcW w:type="dxa" w:w="2353"/>
          </w:tcPr>
          <w:p>
            <w:r/>
            <w:r>
              <w:rPr>
                <w:sz w:val="18"/>
              </w:rPr>
              <w:t>2028-04-30</w:t>
            </w:r>
          </w:p>
        </w:tc>
        <w:tc>
          <w:tcPr>
            <w:tcW w:type="dxa" w:w="2353"/>
          </w:tcPr>
          <w:p>
            <w:r/>
            <w:r>
              <w:rPr>
                <w:sz w:val="18"/>
              </w:rPr>
              <w:t>Annual option fee, year 3</w:t>
            </w:r>
          </w:p>
        </w:tc>
        <w:tc>
          <w:tcPr>
            <w:tcW w:type="dxa" w:w="2353"/>
          </w:tcPr>
          <w:p>
            <w:r/>
            <w:r>
              <w:rPr>
                <w:sz w:val="18"/>
              </w:rPr>
              <w:t>15,000</w:t>
            </w:r>
          </w:p>
        </w:tc>
        <w:tc>
          <w:tcPr>
            <w:tcW w:type="dxa" w:w="2353"/>
          </w:tcPr>
          <w:p>
            <w:r/>
            <w:r>
              <w:rPr>
                <w:sz w:val="18"/>
              </w:rPr>
              <w:t>Scheduled</w:t>
            </w:r>
          </w:p>
        </w:tc>
      </w:tr>
      <w:tr>
        <w:tc>
          <w:tcPr>
            <w:tcW w:type="dxa" w:w="2353"/>
            <w:shd w:val="clear" w:color="auto" w:fill="EEF3F6"/>
          </w:tcPr>
          <w:p>
            <w:r/>
            <w:r>
              <w:rPr>
                <w:sz w:val="18"/>
              </w:rPr>
              <w:t>On planning consent</w:t>
            </w:r>
          </w:p>
        </w:tc>
        <w:tc>
          <w:tcPr>
            <w:tcW w:type="dxa" w:w="2353"/>
            <w:shd w:val="clear" w:color="auto" w:fill="EEF3F6"/>
          </w:tcPr>
          <w:p>
            <w:r/>
            <w:r>
              <w:rPr>
                <w:sz w:val="18"/>
              </w:rPr>
              <w:t>Planning success fee</w:t>
            </w:r>
          </w:p>
        </w:tc>
        <w:tc>
          <w:tcPr>
            <w:tcW w:type="dxa" w:w="2353"/>
            <w:shd w:val="clear" w:color="auto" w:fill="EEF3F6"/>
          </w:tcPr>
          <w:p>
            <w:r/>
            <w:r>
              <w:rPr>
                <w:sz w:val="18"/>
              </w:rPr>
              <w:t>25,000</w:t>
            </w:r>
          </w:p>
        </w:tc>
        <w:tc>
          <w:tcPr>
            <w:tcW w:type="dxa" w:w="2353"/>
            <w:shd w:val="clear" w:color="auto" w:fill="EEF3F6"/>
          </w:tcPr>
          <w:p>
            <w:r/>
            <w:r>
              <w:rPr>
                <w:sz w:val="18"/>
              </w:rPr>
              <w:t>Contingent</w:t>
            </w:r>
          </w:p>
        </w:tc>
      </w:tr>
    </w:tbl>
    <w:p/>
    <w:p>
      <w:r>
        <w:t>Original signed agreement: Legal &amp; Contracts space, folder Land / Fenwick. This summary is for project use only.</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Fenwick – Land Option Agreement Summary  ·  FW-LEG-SUM-0001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Fenwick – Land Option Agreement Summary</dc:title>
  <dc:subject>Option for lease – signed 30 April 2026</dc:subject>
  <dc:creator>Priya Nair</dc:creator>
  <cp:keywords>signed, confidential</cp:keywords>
  <dc:description>generated by python-docx</dc:description>
  <cp:lastModifiedBy>Priya Nair</cp:lastModifiedBy>
  <cp:revision>1</cp:revision>
  <dcterms:created xsi:type="dcterms:W3CDTF">2026-05-04T10:00:00Z</dcterms:created>
  <dcterms:modified xsi:type="dcterms:W3CDTF">2026-05-14T10:00:00Z</dcterms:modified>
  <cp:category/>
</cp:coreProperties>
</file>