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Forecast 3 (8+4) – Commentary</w:t>
      </w:r>
    </w:p>
    <w:p>
      <w:r>
        <w:rPr>
          <w:color w:val="1FA2A6"/>
          <w:sz w:val="25"/>
        </w:rPr>
        <w:t>Weyland group, financial year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Marcus Bell  ·  18 September 2026</w:t>
      </w:r>
    </w:p>
    <w:p>
      <w:pPr>
        <w:pStyle w:val="Heading1"/>
      </w:pPr>
      <w:r>
        <w:t>Headline</w:t>
      </w:r>
    </w:p>
    <w:p>
      <w:r>
        <w:t xml:space="preserve">Forecast 3 combines actuals for January to August with an updated outlook for September to December. Full-year revenue is forecast at </w:t>
      </w:r>
      <w:r>
        <w:rPr>
          <w:b/>
        </w:rPr>
        <w:t>EUR 330.5 m</w:t>
      </w:r>
      <w:r>
        <w:t xml:space="preserve"> (-1.0 % vs. budget) and EBITDA at </w:t>
      </w:r>
      <w:r>
        <w:rPr>
          <w:b/>
        </w:rPr>
        <w:t>EUR 151.9 m</w:t>
      </w:r>
      <w:r>
        <w:t xml:space="preserve"> (-2.6 %). Compared with Forecast 2 (6+6), EBITDA improves by EUR 1.2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forecast-evolution-428ec1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EBITDA forecast evolution, budget line at EUR 156 m</w:t>
      </w:r>
    </w:p>
    <w:p>
      <w:pPr>
        <w:pStyle w:val="Heading1"/>
      </w:pPr>
      <w:r>
        <w:t>Bridge budget → Forecast 3 (EBITDA, EUR 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84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</w:tr>
      <w:tr>
        <w:tc>
          <w:tcPr>
            <w:tcW w:type="dxa" w:w="7843"/>
          </w:tcPr>
          <w:p>
            <w:r/>
            <w:r>
              <w:rPr>
                <w:sz w:val="18"/>
              </w:rPr>
              <w:t>Budget 2026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156.0</w:t>
            </w:r>
          </w:p>
        </w:tc>
      </w:tr>
      <w:tr>
        <w:tc>
          <w:tcPr>
            <w:tcW w:type="dxa" w:w="7843"/>
            <w:shd w:val="clear" w:color="auto" w:fill="EEF3F6"/>
          </w:tcPr>
          <w:p>
            <w:r/>
            <w:r>
              <w:rPr>
                <w:sz w:val="18"/>
              </w:rPr>
              <w:t>Kestrel Ridge T-07 outage (KR-INC-2026-003), net of warranty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-1.4</w:t>
            </w:r>
          </w:p>
        </w:tc>
      </w:tr>
      <w:tr>
        <w:tc>
          <w:tcPr>
            <w:tcW w:type="dxa" w:w="7843"/>
          </w:tcPr>
          <w:p>
            <w:r/>
            <w:r>
              <w:rPr>
                <w:sz w:val="18"/>
              </w:rPr>
              <w:t>Wind resource Q1 and June below P50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-3.9</w:t>
            </w:r>
          </w:p>
        </w:tc>
      </w:tr>
      <w:tr>
        <w:tc>
          <w:tcPr>
            <w:tcW w:type="dxa" w:w="7843"/>
            <w:shd w:val="clear" w:color="auto" w:fill="EEF3F6"/>
          </w:tcPr>
          <w:p>
            <w:r/>
            <w:r>
              <w:rPr>
                <w:sz w:val="18"/>
              </w:rPr>
              <w:t>Lower forward prices Q4 (DE –3 %, GB –4 %)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-1.1</w:t>
            </w:r>
          </w:p>
        </w:tc>
      </w:tr>
      <w:tr>
        <w:tc>
          <w:tcPr>
            <w:tcW w:type="dxa" w:w="7843"/>
          </w:tcPr>
          <w:p>
            <w:r/>
            <w:r>
              <w:rPr>
                <w:sz w:val="18"/>
              </w:rPr>
              <w:t>Battery trading and solar ahead of plan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+1.6</w:t>
            </w:r>
          </w:p>
        </w:tc>
      </w:tr>
      <w:tr>
        <w:tc>
          <w:tcPr>
            <w:tcW w:type="dxa" w:w="7843"/>
            <w:shd w:val="clear" w:color="auto" w:fill="EEF3F6"/>
          </w:tcPr>
          <w:p>
            <w:r/>
            <w:r>
              <w:rPr>
                <w:sz w:val="18"/>
              </w:rPr>
              <w:t>O&amp;M savings Highline Wind Services renegotiation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+0.9</w:t>
            </w:r>
          </w:p>
        </w:tc>
      </w:tr>
      <w:tr>
        <w:tc>
          <w:tcPr>
            <w:tcW w:type="dxa" w:w="7843"/>
          </w:tcPr>
          <w:p>
            <w:r/>
            <w:r>
              <w:rPr>
                <w:sz w:val="18"/>
              </w:rPr>
              <w:t>Personnel – delayed hiring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+0.6</w:t>
            </w:r>
          </w:p>
        </w:tc>
      </w:tr>
      <w:tr>
        <w:tc>
          <w:tcPr>
            <w:tcW w:type="dxa" w:w="7843"/>
            <w:shd w:val="clear" w:color="auto" w:fill="EEF3F6"/>
          </w:tcPr>
          <w:p>
            <w:r/>
            <w:r>
              <w:rPr>
                <w:sz w:val="18"/>
              </w:rPr>
              <w:t>Other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-0.8</w:t>
            </w:r>
          </w:p>
        </w:tc>
      </w:tr>
      <w:tr>
        <w:tc>
          <w:tcPr>
            <w:tcW w:type="dxa" w:w="7843"/>
          </w:tcPr>
          <w:p>
            <w:r/>
            <w:r>
              <w:rPr>
                <w:b/>
                <w:sz w:val="18"/>
              </w:rPr>
              <w:t>Forecast 3</w:t>
            </w:r>
          </w:p>
        </w:tc>
        <w:tc>
          <w:tcPr>
            <w:tcW w:type="dxa" w:w="1569"/>
          </w:tcPr>
          <w:p>
            <w:r/>
            <w:r>
              <w:rPr>
                <w:b/>
                <w:sz w:val="18"/>
              </w:rPr>
              <w:t>151.9</w:t>
            </w:r>
          </w:p>
        </w:tc>
      </w:tr>
    </w:tbl>
    <w:p/>
    <w:p>
      <w:pPr>
        <w:pStyle w:val="Heading1"/>
      </w:pPr>
      <w:r>
        <w:t>Risks and opportunities</w:t>
      </w:r>
    </w:p>
    <w:p>
      <w:pPr>
        <w:pStyle w:val="ListBullet"/>
      </w:pPr>
      <w:r>
        <w:t>Q4 wind: each 5 % deviation from P50 moves EBITDA by around EUR 2.3 m.</w:t>
      </w:r>
    </w:p>
    <w:p>
      <w:pPr>
        <w:pStyle w:val="ListBullet"/>
      </w:pPr>
      <w:r>
        <w:t>HB-RISK-017 has no P&amp;L impact in 2026 – Harrow Bay costs are capitalised; contingency release of EUR 14.5 m approved on 6 August.</w:t>
      </w:r>
    </w:p>
    <w:p>
      <w:pPr>
        <w:pStyle w:val="ListBullet"/>
      </w:pPr>
      <w:r>
        <w:t>REGO prices in the UK remain volatile (± EUR 0.4 m).</w:t>
      </w:r>
    </w:p>
    <w:p>
      <w:pPr>
        <w:pStyle w:val="ListBullet"/>
      </w:pPr>
      <w:r>
        <w:t>Insurance recovery for T-07 crane costs (EUR 0.21 m) not included.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with Jonas Richter on 21 September</w:t>
      </w:r>
    </w:p>
    <w:p>
      <w:pPr>
        <w:pStyle w:val="ListBullet"/>
      </w:pPr>
      <w:r>
        <w:t>Presentation to the Supervisory Board on 24 September</w:t>
      </w:r>
    </w:p>
    <w:p>
      <w:pPr>
        <w:pStyle w:val="ListBullet"/>
      </w:pPr>
      <w:r>
        <w:t>Budget 2027 kick-off with cost centre owners on 1 October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Forecast 3 (8+4) – Commentary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 3 (8+4) – Commentary</dc:title>
  <dc:subject>Weyland group, financial year 2026</dc:subject>
  <dc:creator>Marcus Bell</dc:creator>
  <cp:keywords>in review</cp:keywords>
  <dc:description>generated by python-docx</dc:description>
  <cp:lastModifiedBy>Marcus Bell</cp:lastModifiedBy>
  <cp:revision>1</cp:revision>
  <dcterms:created xsi:type="dcterms:W3CDTF">2026-09-15T10:00:00Z</dcterms:created>
  <dcterms:modified xsi:type="dcterms:W3CDTF">2026-09-18T17:10:00Z</dcterms:modified>
  <cp:category/>
</cp:coreProperties>
</file>