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Budget 2026 – Guidelines</w:t>
      </w:r>
    </w:p>
    <w:p>
      <w:r>
        <w:rPr>
          <w:color w:val="1FA2A6"/>
          <w:sz w:val="25"/>
        </w:rPr>
        <w:t>Planning round October – December 2025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Richter  ·  12 September 2025</w:t>
      </w:r>
    </w:p>
    <w:p>
      <w:r>
        <w:t>Dear cost centre owners, the budget round 2026 starts on 1 October 2025. Please submit your budgets in the template by 24 October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Target 2026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EUR 330–340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EBITDA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≥ EUR 155 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Opex growth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≤ 4.0 %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Headcount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+20 FTE max.</w:t>
            </w:r>
          </w:p>
        </w:tc>
      </w:tr>
    </w:tbl>
    <w:p/>
    <w:p>
      <w:r>
        <w:t>The final budget will be approved by the Supervisory Board on 11 December 2025.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Budget 2026 – Guidelines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2026 – Guidelines</dc:title>
  <dc:subject>Planning round October – December 2025</dc:subject>
  <dc:creator>Jonas Richter</dc:creator>
  <cp:keywords/>
  <dc:description>generated by python-docx</dc:description>
  <cp:lastModifiedBy>Jonas Richter</cp:lastModifiedBy>
  <cp:revision>1</cp:revision>
  <dcterms:created xsi:type="dcterms:W3CDTF">2025-09-12T10:00:00Z</dcterms:created>
  <dcterms:modified xsi:type="dcterms:W3CDTF">2025-09-12T10:00:00Z</dcterms:modified>
  <cp:category/>
</cp:coreProperties>
</file>