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Project Finance – Term Sheet Summary</w:t>
      </w:r>
    </w:p>
    <w:p>
      <w:r>
        <w:rPr>
          <w:color w:val="1FA2A6"/>
          <w:sz w:val="25"/>
        </w:rPr>
        <w:t>Agreed with Hanseatic Infrastructure Bank on 2 December 2025</w:t>
      </w:r>
    </w:p>
    <w:p>
      <w:pPr>
        <w:pBdr>
          <w:bottom w:val="single" w:sz="12" w:space="6" w:color="1FA2A6"/>
        </w:pBdr>
      </w:pPr>
      <w:r>
        <w:rPr>
          <w:color w:val="4A5A68"/>
          <w:sz w:val="18"/>
        </w:rPr>
        <w:t>Jonas Richter  ·  03 December 2025</w:t>
      </w:r>
    </w:p>
    <w:p>
      <w:r>
        <w:t>This note summarises the main commercial terms agreed with the mandated lead arranger. Credit approvals of the lender group are expected by early February 2026, financial close on 12 February 2026.</w:t>
      </w:r>
    </w:p>
    <w:tbl>
      <w:tblPr>
        <w:tblStyle w:val="TableGrid"/>
        <w:tblW w:type="auto" w:w="0"/>
        <w:jc w:val="center"/>
        <w:tblLook w:firstColumn="1" w:firstRow="1" w:lastColumn="0" w:lastRow="0" w:noHBand="0" w:noVBand="1" w:val="04A0"/>
      </w:tblPr>
      <w:tblGrid>
        <w:gridCol w:w="4706"/>
        <w:gridCol w:w="4706"/>
      </w:tblGrid>
      <w:tr>
        <w:tc>
          <w:tcPr>
            <w:tcW w:type="dxa" w:w="2510"/>
            <w:shd w:val="clear" w:color="auto" w:fill="0B3C5D"/>
          </w:tcPr>
          <w:p>
            <w:r/>
            <w:r>
              <w:rPr>
                <w:b/>
                <w:color w:val="FFFFFF"/>
                <w:sz w:val="18"/>
              </w:rPr>
              <w:t>Term</w:t>
            </w:r>
          </w:p>
        </w:tc>
        <w:tc>
          <w:tcPr>
            <w:tcW w:type="dxa" w:w="6901"/>
            <w:shd w:val="clear" w:color="auto" w:fill="0B3C5D"/>
          </w:tcPr>
          <w:p>
            <w:r/>
            <w:r>
              <w:rPr>
                <w:b/>
                <w:color w:val="FFFFFF"/>
                <w:sz w:val="18"/>
              </w:rPr>
              <w:t>Agreed</w:t>
            </w:r>
          </w:p>
        </w:tc>
      </w:tr>
      <w:tr>
        <w:tc>
          <w:tcPr>
            <w:tcW w:type="dxa" w:w="2510"/>
          </w:tcPr>
          <w:p>
            <w:r/>
            <w:r>
              <w:rPr>
                <w:sz w:val="18"/>
              </w:rPr>
              <w:t>Facility</w:t>
            </w:r>
          </w:p>
        </w:tc>
        <w:tc>
          <w:tcPr>
            <w:tcW w:type="dxa" w:w="6901"/>
          </w:tcPr>
          <w:p>
            <w:r/>
            <w:r>
              <w:rPr>
                <w:sz w:val="18"/>
              </w:rPr>
              <w:t>EUR 1,100 m senior secured construction and term loan facility</w:t>
            </w:r>
          </w:p>
        </w:tc>
      </w:tr>
      <w:tr>
        <w:tc>
          <w:tcPr>
            <w:tcW w:type="dxa" w:w="2510"/>
            <w:shd w:val="clear" w:color="auto" w:fill="EEF3F6"/>
          </w:tcPr>
          <w:p>
            <w:r/>
            <w:r>
              <w:rPr>
                <w:sz w:val="18"/>
              </w:rPr>
              <w:t>Mandated lead arranger</w:t>
            </w:r>
          </w:p>
        </w:tc>
        <w:tc>
          <w:tcPr>
            <w:tcW w:type="dxa" w:w="6901"/>
            <w:shd w:val="clear" w:color="auto" w:fill="EEF3F6"/>
          </w:tcPr>
          <w:p>
            <w:r/>
            <w:r>
              <w:rPr>
                <w:sz w:val="18"/>
              </w:rPr>
              <w:t>Hanseatic Infrastructure Bank</w:t>
            </w:r>
          </w:p>
        </w:tc>
      </w:tr>
      <w:tr>
        <w:tc>
          <w:tcPr>
            <w:tcW w:type="dxa" w:w="2510"/>
          </w:tcPr>
          <w:p>
            <w:r/>
            <w:r>
              <w:rPr>
                <w:sz w:val="18"/>
              </w:rPr>
              <w:t>Tenor</w:t>
            </w:r>
          </w:p>
        </w:tc>
        <w:tc>
          <w:tcPr>
            <w:tcW w:type="dxa" w:w="6901"/>
          </w:tcPr>
          <w:p>
            <w:r/>
            <w:r>
              <w:rPr>
                <w:sz w:val="18"/>
              </w:rPr>
              <w:t>Construction period plus 18 years after COD (final maturity 2046)</w:t>
            </w:r>
          </w:p>
        </w:tc>
      </w:tr>
      <w:tr>
        <w:tc>
          <w:tcPr>
            <w:tcW w:type="dxa" w:w="2510"/>
            <w:shd w:val="clear" w:color="auto" w:fill="EEF3F6"/>
          </w:tcPr>
          <w:p>
            <w:r/>
            <w:r>
              <w:rPr>
                <w:sz w:val="18"/>
              </w:rPr>
              <w:t>Margin</w:t>
            </w:r>
          </w:p>
        </w:tc>
        <w:tc>
          <w:tcPr>
            <w:tcW w:type="dxa" w:w="6901"/>
            <w:shd w:val="clear" w:color="auto" w:fill="EEF3F6"/>
          </w:tcPr>
          <w:p>
            <w:r/>
            <w:r>
              <w:rPr>
                <w:sz w:val="18"/>
              </w:rPr>
              <w:t>165 bps during construction, 150–190 bps step-up during operations</w:t>
            </w:r>
          </w:p>
        </w:tc>
      </w:tr>
      <w:tr>
        <w:tc>
          <w:tcPr>
            <w:tcW w:type="dxa" w:w="2510"/>
          </w:tcPr>
          <w:p>
            <w:r/>
            <w:r>
              <w:rPr>
                <w:sz w:val="18"/>
              </w:rPr>
              <w:t>Interest hedging</w:t>
            </w:r>
          </w:p>
        </w:tc>
        <w:tc>
          <w:tcPr>
            <w:tcW w:type="dxa" w:w="6901"/>
          </w:tcPr>
          <w:p>
            <w:r/>
            <w:r>
              <w:rPr>
                <w:sz w:val="18"/>
              </w:rPr>
              <w:t>85 % of the expected debt hedged with amortising swaps at 2.74 % (5 counterparties)</w:t>
            </w:r>
          </w:p>
        </w:tc>
      </w:tr>
      <w:tr>
        <w:tc>
          <w:tcPr>
            <w:tcW w:type="dxa" w:w="2510"/>
            <w:shd w:val="clear" w:color="auto" w:fill="EEF3F6"/>
          </w:tcPr>
          <w:p>
            <w:r/>
            <w:r>
              <w:rPr>
                <w:sz w:val="18"/>
              </w:rPr>
              <w:t>Debt : equity</w:t>
            </w:r>
          </w:p>
        </w:tc>
        <w:tc>
          <w:tcPr>
            <w:tcW w:type="dxa" w:w="6901"/>
            <w:shd w:val="clear" w:color="auto" w:fill="EEF3F6"/>
          </w:tcPr>
          <w:p>
            <w:r/>
            <w:r>
              <w:rPr>
                <w:sz w:val="18"/>
              </w:rPr>
              <w:t>68 : 32 (EUR 1,100 m debt / EUR 520 m equity)</w:t>
            </w:r>
          </w:p>
        </w:tc>
      </w:tr>
      <w:tr>
        <w:tc>
          <w:tcPr>
            <w:tcW w:type="dxa" w:w="2510"/>
          </w:tcPr>
          <w:p>
            <w:r/>
            <w:r>
              <w:rPr>
                <w:sz w:val="18"/>
              </w:rPr>
              <w:t>Equity first</w:t>
            </w:r>
          </w:p>
        </w:tc>
        <w:tc>
          <w:tcPr>
            <w:tcW w:type="dxa" w:w="6901"/>
          </w:tcPr>
          <w:p>
            <w:r/>
            <w:r>
              <w:rPr>
                <w:sz w:val="18"/>
              </w:rPr>
              <w:t>Yes – equity of EUR 520 m fully contributed before first debt drawdown</w:t>
            </w:r>
          </w:p>
        </w:tc>
      </w:tr>
      <w:tr>
        <w:tc>
          <w:tcPr>
            <w:tcW w:type="dxa" w:w="2510"/>
            <w:shd w:val="clear" w:color="auto" w:fill="EEF3F6"/>
          </w:tcPr>
          <w:p>
            <w:r/>
            <w:r>
              <w:rPr>
                <w:sz w:val="18"/>
              </w:rPr>
              <w:t>DSCR covenant</w:t>
            </w:r>
          </w:p>
        </w:tc>
        <w:tc>
          <w:tcPr>
            <w:tcW w:type="dxa" w:w="6901"/>
            <w:shd w:val="clear" w:color="auto" w:fill="EEF3F6"/>
          </w:tcPr>
          <w:p>
            <w:r/>
            <w:r>
              <w:rPr>
                <w:sz w:val="18"/>
              </w:rPr>
              <w:t>Lock-up 1.15x, default 1.05x (historic and projected, P90)</w:t>
            </w:r>
          </w:p>
        </w:tc>
      </w:tr>
      <w:tr>
        <w:tc>
          <w:tcPr>
            <w:tcW w:type="dxa" w:w="2510"/>
          </w:tcPr>
          <w:p>
            <w:r/>
            <w:r>
              <w:rPr>
                <w:sz w:val="18"/>
              </w:rPr>
              <w:t>Sizing DSCR</w:t>
            </w:r>
          </w:p>
        </w:tc>
        <w:tc>
          <w:tcPr>
            <w:tcW w:type="dxa" w:w="6901"/>
          </w:tcPr>
          <w:p>
            <w:r/>
            <w:r>
              <w:rPr>
                <w:sz w:val="18"/>
              </w:rPr>
              <w:t>1.30x P90 / 1.40x P50</w:t>
            </w:r>
          </w:p>
        </w:tc>
      </w:tr>
      <w:tr>
        <w:tc>
          <w:tcPr>
            <w:tcW w:type="dxa" w:w="2510"/>
            <w:shd w:val="clear" w:color="auto" w:fill="EEF3F6"/>
          </w:tcPr>
          <w:p>
            <w:r/>
            <w:r>
              <w:rPr>
                <w:sz w:val="18"/>
              </w:rPr>
              <w:t>Contingency</w:t>
            </w:r>
          </w:p>
        </w:tc>
        <w:tc>
          <w:tcPr>
            <w:tcW w:type="dxa" w:w="6901"/>
            <w:shd w:val="clear" w:color="auto" w:fill="EEF3F6"/>
          </w:tcPr>
          <w:p>
            <w:r/>
            <w:r>
              <w:rPr>
                <w:sz w:val="18"/>
              </w:rPr>
              <w:t>EUR 96 m contingency in the budget plus EUR 45 m standby equity</w:t>
            </w:r>
          </w:p>
        </w:tc>
      </w:tr>
      <w:tr>
        <w:tc>
          <w:tcPr>
            <w:tcW w:type="dxa" w:w="2510"/>
          </w:tcPr>
          <w:p>
            <w:r/>
            <w:r>
              <w:rPr>
                <w:sz w:val="18"/>
              </w:rPr>
              <w:t>Revenue support</w:t>
            </w:r>
          </w:p>
        </w:tc>
        <w:tc>
          <w:tcPr>
            <w:tcW w:type="dxa" w:w="6901"/>
          </w:tcPr>
          <w:p>
            <w:r/>
            <w:r>
              <w:rPr>
                <w:sz w:val="18"/>
              </w:rPr>
              <w:t>15-year PPA WE-PPA-2026-004 with Arcturus Steel AG for 150 MW plus CfD for the remaining capacity</w:t>
            </w:r>
          </w:p>
        </w:tc>
      </w:tr>
      <w:tr>
        <w:tc>
          <w:tcPr>
            <w:tcW w:type="dxa" w:w="2510"/>
            <w:shd w:val="clear" w:color="auto" w:fill="EEF3F6"/>
          </w:tcPr>
          <w:p>
            <w:r/>
            <w:r>
              <w:rPr>
                <w:sz w:val="18"/>
              </w:rPr>
              <w:t>Lenders' technical adviser</w:t>
            </w:r>
          </w:p>
        </w:tc>
        <w:tc>
          <w:tcPr>
            <w:tcW w:type="dxa" w:w="6901"/>
            <w:shd w:val="clear" w:color="auto" w:fill="EEF3F6"/>
          </w:tcPr>
          <w:p>
            <w:r/>
            <w:r>
              <w:rPr>
                <w:sz w:val="18"/>
              </w:rPr>
              <w:t>Strandberg Technical Advisory</w:t>
            </w:r>
          </w:p>
        </w:tc>
      </w:tr>
    </w:tbl>
    <w:p/>
    <w:p>
      <w:pPr>
        <w:pStyle w:val="Heading1"/>
      </w:pPr>
      <w:r>
        <w:t>Open points</w:t>
      </w:r>
    </w:p>
    <w:p>
      <w:pPr>
        <w:pStyle w:val="ListBullet"/>
      </w:pPr>
      <w:r>
        <w:t>Cash sweep mechanism after year 12 (lenders want 50 %, we offered 25 %)</w:t>
      </w:r>
    </w:p>
    <w:p>
      <w:pPr>
        <w:pStyle w:val="ListBullet"/>
      </w:pPr>
      <w:r>
        <w:t>Distribution lock-up DSCR – 1.15x agreed, test period to be defined</w:t>
      </w:r>
    </w:p>
    <w:p>
      <w:pPr>
        <w:pStyle w:val="ListBullet"/>
      </w:pPr>
      <w:r>
        <w:t>Reserve account for decommissioning from year 15</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Project Finance – Term Sheet Summary</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Project Finance – Term Sheet Summary</dc:title>
  <dc:subject>Agreed with Hanseatic Infrastructure Bank on 2 December 2025</dc:subject>
  <dc:creator>Jonas Richter</dc:creator>
  <cp:keywords>confidential</cp:keywords>
  <dc:description>generated by python-docx</dc:description>
  <cp:lastModifiedBy>Jonas Richter</cp:lastModifiedBy>
  <cp:revision>1</cp:revision>
  <dcterms:created xsi:type="dcterms:W3CDTF">2025-11-20T10:00:00Z</dcterms:created>
  <dcterms:modified xsi:type="dcterms:W3CDTF">2025-12-03T10:00:00Z</dcterms:modified>
  <cp:category/>
</cp:coreProperties>
</file>