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Tax Field Audit 2021–2023</w:t>
      </w:r>
    </w:p>
    <w:p>
      <w:r>
        <w:rPr>
          <w:color w:val="1FA2A6"/>
          <w:sz w:val="25"/>
        </w:rPr>
        <w:t>Status update for the CFO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Marcus Bell  ·  27 August 2026</w:t>
      </w:r>
    </w:p>
    <w:p>
      <w:r>
        <w:t>The Hamburg tax office started the field audit for corporate tax, trade tax and VAT 2021–2023 on 13 April 2026. Two auditors are on site on Tuesdays and Wednesdays.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52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Auditor question</w:t>
            </w:r>
          </w:p>
        </w:tc>
        <w:tc>
          <w:tcPr>
            <w:tcW w:type="dxa" w:w="17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Potential impact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Development cost capitalisation</w:t>
            </w:r>
          </w:p>
        </w:tc>
        <w:tc>
          <w:tcPr>
            <w:tcW w:type="dxa" w:w="3529"/>
          </w:tcPr>
          <w:p>
            <w:r/>
            <w:r>
              <w:rPr>
                <w:sz w:val="18"/>
              </w:rPr>
              <w:t>Timing of capitalisation of onshore projects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Answered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Trade tax apportionment</w:t>
            </w:r>
          </w:p>
        </w:tc>
        <w:tc>
          <w:tcPr>
            <w:tcW w:type="dxa" w:w="3529"/>
            <w:shd w:val="clear" w:color="auto" w:fill="EEF3F6"/>
          </w:tcPr>
          <w:p>
            <w:r/>
            <w:r>
              <w:rPr>
                <w:sz w:val="18"/>
              </w:rPr>
              <w:t>Split between Hamburg and wind farm municipalities (§ 29 GewStG)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EUR 0.2–0.4 m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VAT on GoO sales to DK</w:t>
            </w:r>
          </w:p>
        </w:tc>
        <w:tc>
          <w:tcPr>
            <w:tcW w:type="dxa" w:w="3529"/>
          </w:tcPr>
          <w:p>
            <w:r/>
            <w:r>
              <w:rPr>
                <w:sz w:val="18"/>
              </w:rPr>
              <w:t>Reverse charge documentation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Closed – no finding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Intercompany services</w:t>
            </w:r>
          </w:p>
        </w:tc>
        <w:tc>
          <w:tcPr>
            <w:tcW w:type="dxa" w:w="3529"/>
            <w:shd w:val="clear" w:color="auto" w:fill="EEF3F6"/>
          </w:tcPr>
          <w:p>
            <w:r/>
            <w:r>
              <w:rPr>
                <w:sz w:val="18"/>
              </w:rPr>
              <w:t>Cost plus mark-up 5 %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Documentation provided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Low</w:t>
            </w:r>
          </w:p>
        </w:tc>
      </w:tr>
    </w:tbl>
    <w:p/>
    <w:p>
      <w:r>
        <w:t>Expected closing meeting: November 2026. Provision of EUR 0.3 m recognised in the 2025 accounts.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Tax Field Audit 2021–2023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Field Audit 2021–2023</dc:title>
  <dc:subject>Status update for the CFO</dc:subject>
  <dc:creator>Marcus Bell</dc:creator>
  <cp:keywords>confidential</cp:keywords>
  <dc:description>generated by python-docx</dc:description>
  <cp:lastModifiedBy>Marcus Bell</cp:lastModifiedBy>
  <cp:revision>1</cp:revision>
  <dcterms:created xsi:type="dcterms:W3CDTF">2026-04-14T10:00:00Z</dcterms:created>
  <dcterms:modified xsi:type="dcterms:W3CDTF">2026-08-27T10:00:00Z</dcterms:modified>
  <cp:category/>
</cp:coreProperties>
</file>