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Connection Queue Reform – Consultation Response</w:t>
      </w:r>
    </w:p>
    <w:p>
      <w:r>
        <w:rPr>
          <w:color w:val="1FA2A6"/>
          <w:sz w:val="25"/>
        </w:rPr>
        <w:t>Response to NordGrid Transmission</w:t>
      </w:r>
    </w:p>
    <w:p>
      <w:pPr>
        <w:pBdr>
          <w:bottom w:val="single" w:sz="12" w:space="6" w:color="1FA2A6"/>
        </w:pBdr>
      </w:pPr>
      <w:r>
        <w:rPr>
          <w:color w:val="4A5A68"/>
          <w:sz w:val="18"/>
        </w:rPr>
        <w:t>Sofie Lindqvist  ·  19 March 2026</w:t>
      </w:r>
    </w:p>
    <w:p>
      <w:pPr>
        <w:pStyle w:val="Heading1"/>
      </w:pPr>
      <w:r>
        <w:t>1. Summary</w:t>
      </w:r>
    </w:p>
    <w:p>
      <w:r>
        <w:t xml:space="preserve">Weyland Energy welcomes NordGrid's proposal to reform the connection queue. Today, many queue positions are held by projects that will never be built, which pushes back viable projects such as our Fenwick Battery Storage scheme. We support a </w:t>
      </w:r>
      <w:r>
        <w:rPr>
          <w:b/>
        </w:rPr>
        <w:t>Gate 2</w:t>
      </w:r>
      <w:r>
        <w:t xml:space="preserve"> readiness test based on land rights and planning progress, with some changes.</w:t>
      </w:r>
    </w:p>
    <w:p>
      <w:pPr>
        <w:pStyle w:val="Heading1"/>
      </w:pPr>
      <w:r>
        <w:t>2. Answers to consultation questions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Question</w:t>
            </w:r>
          </w:p>
        </w:tc>
        <w:tc>
          <w:tcPr>
            <w:tcW w:type="dxa" w:w="4706"/>
            <w:shd w:val="clear" w:color="auto" w:fill="0B3C5D"/>
          </w:tcPr>
          <w:p>
            <w:r/>
            <w:r>
              <w:rPr>
                <w:b/>
                <w:color w:val="FFFFFF"/>
                <w:sz w:val="18"/>
              </w:rPr>
              <w:t>Our answer</w:t>
            </w:r>
          </w:p>
        </w:tc>
      </w:tr>
      <w:tr>
        <w:tc>
          <w:tcPr>
            <w:tcW w:type="dxa" w:w="4706"/>
          </w:tcPr>
          <w:p>
            <w:r/>
            <w:r>
              <w:rPr>
                <w:sz w:val="18"/>
              </w:rPr>
              <w:t>Q1 – Should land rights be a Gate 2 criterion?</w:t>
            </w:r>
          </w:p>
        </w:tc>
        <w:tc>
          <w:tcPr>
            <w:tcW w:type="dxa" w:w="4706"/>
          </w:tcPr>
          <w:p>
            <w:r/>
            <w:r>
              <w:rPr>
                <w:sz w:val="18"/>
              </w:rPr>
              <w:t>Yes. An option or lease over the full site should be required.</w:t>
            </w:r>
          </w:p>
        </w:tc>
      </w:tr>
      <w:tr>
        <w:tc>
          <w:tcPr>
            <w:tcW w:type="dxa" w:w="4706"/>
            <w:shd w:val="clear" w:color="auto" w:fill="EEF3F6"/>
          </w:tcPr>
          <w:p>
            <w:r/>
            <w:r>
              <w:rPr>
                <w:sz w:val="18"/>
              </w:rPr>
              <w:t>Q2 – Should a planning submission be required?</w:t>
            </w:r>
          </w:p>
        </w:tc>
        <w:tc>
          <w:tcPr>
            <w:tcW w:type="dxa" w:w="4706"/>
            <w:shd w:val="clear" w:color="auto" w:fill="EEF3F6"/>
          </w:tcPr>
          <w:p>
            <w:r/>
            <w:r>
              <w:rPr>
                <w:sz w:val="18"/>
              </w:rPr>
              <w:t>No – a credible planning programme should be enough; requiring submission would force premature applications and more consultation fatigue.</w:t>
            </w:r>
          </w:p>
        </w:tc>
      </w:tr>
      <w:tr>
        <w:tc>
          <w:tcPr>
            <w:tcW w:type="dxa" w:w="4706"/>
          </w:tcPr>
          <w:p>
            <w:r/>
            <w:r>
              <w:rPr>
                <w:sz w:val="18"/>
              </w:rPr>
              <w:t>Q3 – Treatment of storage</w:t>
            </w:r>
          </w:p>
        </w:tc>
        <w:tc>
          <w:tcPr>
            <w:tcW w:type="dxa" w:w="4706"/>
          </w:tcPr>
          <w:p>
            <w:r/>
            <w:r>
              <w:rPr>
                <w:sz w:val="18"/>
              </w:rPr>
              <w:t>Storage that can import during constraints should be prioritised in constrained areas.</w:t>
            </w:r>
          </w:p>
        </w:tc>
      </w:tr>
      <w:tr>
        <w:tc>
          <w:tcPr>
            <w:tcW w:type="dxa" w:w="4706"/>
            <w:shd w:val="clear" w:color="auto" w:fill="EEF3F6"/>
          </w:tcPr>
          <w:p>
            <w:r/>
            <w:r>
              <w:rPr>
                <w:sz w:val="18"/>
              </w:rPr>
              <w:t>Q4 – Transition for existing offers</w:t>
            </w:r>
          </w:p>
        </w:tc>
        <w:tc>
          <w:tcPr>
            <w:tcW w:type="dxa" w:w="4706"/>
            <w:shd w:val="clear" w:color="auto" w:fill="EEF3F6"/>
          </w:tcPr>
          <w:p>
            <w:r/>
            <w:r>
              <w:rPr>
                <w:sz w:val="18"/>
              </w:rPr>
              <w:t>Accepted offers with milestones met (e.g. Millbrook, NGT-OFF-2025-1187) must keep their dates.</w:t>
            </w:r>
          </w:p>
        </w:tc>
      </w:tr>
      <w:tr>
        <w:tc>
          <w:tcPr>
            <w:tcW w:type="dxa" w:w="4706"/>
          </w:tcPr>
          <w:p>
            <w:r/>
            <w:r>
              <w:rPr>
                <w:sz w:val="18"/>
              </w:rPr>
              <w:t>Q5 – Securities</w:t>
            </w:r>
          </w:p>
        </w:tc>
        <w:tc>
          <w:tcPr>
            <w:tcW w:type="dxa" w:w="4706"/>
          </w:tcPr>
          <w:p>
            <w:r/>
            <w:r>
              <w:rPr>
                <w:sz w:val="18"/>
              </w:rPr>
              <w:t>Support higher securities for speculative projects, but cap them for projects past Gate 2.</w:t>
            </w:r>
          </w:p>
        </w:tc>
      </w:tr>
    </w:tbl>
    <w:p/>
    <w:p>
      <w:pPr>
        <w:pStyle w:val="Heading1"/>
      </w:pPr>
      <w:r>
        <w:t>3. Evidence from our portfolio</w:t>
      </w:r>
    </w:p>
    <w:p>
      <w:r>
        <w:t>Our Millbrook Solar &amp; Storage project accepted its offer in December 2025 and submitted its planning application in June 2026. It would pass Gate 2 today. Fenwick has land rights (option with Hallam Farms Partnership signed 30 April 2026) and a planning programme for Q1 2027.</w:t>
      </w:r>
    </w:p>
    <w:p>
      <w:r>
        <w:t>Contact: Ahmed Rahimi, Grid Connection Specialist.</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Connection Queue Reform – Consultation Response</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PUBLIC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Connection Queue Reform – Consultation Response</dc:title>
  <dc:subject>Response to NordGrid Transmission</dc:subject>
  <dc:creator>Sofie Lindqvist</dc:creator>
  <cp:keywords>final, external</cp:keywords>
  <dc:description>generated by python-docx</dc:description>
  <cp:lastModifiedBy>Sofie Lindqvist</cp:lastModifiedBy>
  <cp:revision>1</cp:revision>
  <dcterms:created xsi:type="dcterms:W3CDTF">2026-02-23T10:00:00Z</dcterms:created>
  <dcterms:modified xsi:type="dcterms:W3CDTF">2026-03-19T10:00:00Z</dcterms:modified>
  <cp:category/>
</cp:coreProperties>
</file>