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Parental Leave Policy 2027</w:t>
      </w:r>
    </w:p>
    <w:p>
      <w:r>
        <w:rPr>
          <w:color w:val="1FA2A6"/>
          <w:sz w:val="25"/>
        </w:rPr>
        <w:t>Draft for leadership review – harmonised across DE, UK, DK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Julia Hoffmann  ·  28 September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once approved, the policy moves to the Company Handbook space.</w:t>
            </w:r>
          </w:p>
        </w:tc>
      </w:tr>
    </w:tbl>
    <w:p/>
    <w:p>
      <w:pPr>
        <w:pStyle w:val="Heading1"/>
      </w:pPr>
      <w:r>
        <w:t>Goal</w:t>
      </w:r>
    </w:p>
    <w:p>
      <w:r>
        <w:t>One clear promise in all three countries: every parent gets at least 16 weeks of fully paid leave, regardless of gender, on top of statutory entitlements where those are more generous.</w:t>
      </w:r>
    </w:p>
    <w:p>
      <w:pPr>
        <w:pStyle w:val="Heading1"/>
      </w:pPr>
      <w:r>
        <w:t>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Today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Proposal 2027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Germany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Elterngeld + top-up to 80 % for 8 weeks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Top-up to 100 % for 16 weeks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UK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Enhanced maternity 16 weeks / paternity 6 weeks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16 weeks full pay for all parents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Denmark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Full pay during statutory leave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Unchanged + 2 weeks extra for the second parent</w:t>
            </w:r>
          </w:p>
        </w:tc>
      </w:tr>
    </w:tbl>
    <w:p/>
    <w:p>
      <w:pPr>
        <w:pStyle w:val="Heading1"/>
      </w:pPr>
      <w:r>
        <w:t>Cost estimate</w:t>
      </w:r>
    </w:p>
    <w:p>
      <w:r>
        <w:t>Based on 2024–2026 births (average 14 parents per year): approx. EUR 210,000 additional cost per year.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Parental Leave Policy 2027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Parental Leave Policy 2027</dc:title>
  <dc:subject>Draft for leadership review – harmonised across DE, UK, DK</dc:subject>
  <dc:creator>Julia Hoffmann</dc:creator>
  <cp:keywords>draft</cp:keywords>
  <dc:description>generated by python-docx</dc:description>
  <cp:lastModifiedBy>Julia Hoffmann</cp:lastModifiedBy>
  <cp:revision>1</cp:revision>
  <dcterms:created xsi:type="dcterms:W3CDTF">2026-09-14T10:00:00Z</dcterms:created>
  <dcterms:modified xsi:type="dcterms:W3CDTF">2026-09-28T10:00:00Z</dcterms:modified>
  <cp:category/>
</cp:coreProperties>
</file>