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0B3C5D"/>
          <w:sz w:val="44"/>
        </w:rPr>
        <w:t>Steering Committee Minutes – 23 September 2026</w:t>
      </w:r>
    </w:p>
    <w:p>
      <w:r>
        <w:rPr>
          <w:color w:val="1FA2A6"/>
          <w:sz w:val="25"/>
        </w:rPr>
        <w:t>Harrow Bay Offshore Wind</w:t>
      </w:r>
    </w:p>
    <w:p>
      <w:pPr>
        <w:pBdr>
          <w:bottom w:val="single" w:sz="12" w:space="6" w:color="1FA2A6"/>
        </w:pBdr>
      </w:pPr>
      <w:r>
        <w:rPr>
          <w:color w:val="4A5A68"/>
          <w:sz w:val="18"/>
        </w:rPr>
        <w:t>Elena Márquez  ·  26 September 2026  ·  HB-PM-MIN-SC09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Meeting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Date</w:t>
            </w:r>
          </w:p>
        </w:tc>
        <w:tc>
          <w:tcPr>
            <w:tcW w:type="dxa" w:w="3137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Location</w:t>
            </w:r>
          </w:p>
        </w:tc>
      </w:tr>
      <w:tr>
        <w:tc>
          <w:tcPr>
            <w:tcW w:type="dxa" w:w="3137"/>
          </w:tcPr>
          <w:p>
            <w:r/>
            <w:r>
              <w:rPr>
                <w:sz w:val="18"/>
              </w:rPr>
              <w:t>Harrow Bay Steering Committee No. 9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23 September 2026</w:t>
            </w:r>
          </w:p>
        </w:tc>
        <w:tc>
          <w:tcPr>
            <w:tcW w:type="dxa" w:w="3137"/>
          </w:tcPr>
          <w:p>
            <w:r/>
            <w:r>
              <w:rPr>
                <w:sz w:val="18"/>
              </w:rPr>
              <w:t>Hamburg HQ, Am Sandtorkai 41 / Teams</w:t>
            </w:r>
          </w:p>
        </w:tc>
      </w:tr>
    </w:tbl>
    <w:p/>
    <w:p>
      <w:r>
        <w:rPr>
          <w:b/>
        </w:rPr>
        <w:t>Present:</w:t>
      </w:r>
      <w:r>
        <w:t xml:space="preserve"> Dr. Amara Okafor (chair), Jonas Richter, Paul Wagner, Elena Márquez, Sofie Lindqvist, Hannah Weber, Priya Nair, Marcus Bell; Felix Brandt (item 2); Gareth Lewis (minutes). Held at Hamburg HQ during the North Sea Energy Summit.</w:t>
      </w:r>
    </w:p>
    <w:p>
      <w:pPr>
        <w:pStyle w:val="Heading1"/>
      </w:pPr>
      <w:r>
        <w:t>Agenda and discussion</w:t>
      </w:r>
    </w:p>
    <w:p>
      <w:pPr>
        <w:pStyle w:val="Heading2"/>
      </w:pPr>
      <w:r>
        <w:t>1. Safety</w:t>
      </w:r>
    </w:p>
    <w:p>
      <w:r>
        <w:t>No lost time injuries since construction start (412,000 man-hours). Hannah Weber noted increasing fatigue risk with 24/7 operations; fatigue management plan required before the switch.</w:t>
      </w:r>
    </w:p>
    <w:p>
      <w:pPr>
        <w:pStyle w:val="Heading2"/>
      </w:pPr>
      <w:r>
        <w:t>2. Monopile recovery plan</w:t>
      </w:r>
    </w:p>
    <w:p>
      <w:r>
        <w:t xml:space="preserve">Felix Brandt presented the recovery plan: 13 of 40 monopiles installed (HB-A14 pitched, waiting on weather), 3 behind baseline. Measures: (1) exercise charter option 2 under WE-CON-2025-040 (+45 days, EUR 2.25 m, CO-011); (2) 24/7 piling outside the night-time restriction areas; (3) load-out of four instead of three piles per trip for string B. Forecast for last monopile 26 February 2027, two weeks after baseline, without impact on first turbine installation. </w:t>
      </w:r>
      <w:r>
        <w:rPr>
          <w:b/>
        </w:rPr>
        <w:t>Decisions D-015 and D-016 approved.</w:t>
      </w:r>
    </w:p>
    <w:p>
      <w:pPr>
        <w:pStyle w:val="Heading2"/>
      </w:pPr>
      <w:r>
        <w:t>3. Export cable 2 – HB-RISK-017</w:t>
      </w:r>
    </w:p>
    <w:p>
      <w:r>
        <w:t>Resequenced lay programme issued. CO-010 under negotiation; Severn has accepted that LDs apply but disputes the start date of the grace period. Risk remains red.</w:t>
      </w:r>
    </w:p>
    <w:p>
      <w:pPr>
        <w:pStyle w:val="Heading2"/>
      </w:pPr>
      <w:r>
        <w:t>4. Cost</w:t>
      </w:r>
    </w:p>
    <w:p>
      <w:r>
        <w:t>Actual spend EUR 790 m (48.8 %). EAC EUR 1,620 m; contingency remaining EUR 31.4 m after CO-011. Potential LD recovery of EUR 4.2 m not yet included.</w:t>
      </w:r>
    </w:p>
    <w:p>
      <w:pPr>
        <w:pStyle w:val="Heading1"/>
      </w:pPr>
      <w:r>
        <w:t>Actions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c>
          <w:tcPr>
            <w:tcW w:type="dxa" w:w="565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4706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Action</w:t>
            </w:r>
          </w:p>
        </w:tc>
        <w:tc>
          <w:tcPr>
            <w:tcW w:type="dxa" w:w="1882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Owner</w:t>
            </w:r>
          </w:p>
        </w:tc>
        <w:tc>
          <w:tcPr>
            <w:tcW w:type="dxa" w:w="1318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Due</w:t>
            </w:r>
          </w:p>
        </w:tc>
        <w:tc>
          <w:tcPr>
            <w:tcW w:type="dxa" w:w="941"/>
            <w:shd w:val="clear" w:color="auto" w:fill="0B3C5D"/>
          </w:tcPr>
          <w:p>
            <w:r/>
            <w:r>
              <w:rPr>
                <w:b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565"/>
          </w:tcPr>
          <w:p>
            <w:r/>
            <w:r>
              <w:rPr>
                <w:sz w:val="18"/>
              </w:rPr>
              <w:t>A9.1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Fatigue management plan for 24/7 piling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Hannah Weber</w:t>
            </w:r>
          </w:p>
        </w:tc>
        <w:tc>
          <w:tcPr>
            <w:tcW w:type="dxa" w:w="1318"/>
          </w:tcPr>
          <w:p>
            <w:r/>
            <w:r>
              <w:rPr>
                <w:sz w:val="18"/>
              </w:rPr>
              <w:t>3 Oct 2026</w:t>
            </w:r>
          </w:p>
        </w:tc>
        <w:tc>
          <w:tcPr>
            <w:tcW w:type="dxa" w:w="941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565"/>
            <w:shd w:val="clear" w:color="auto" w:fill="EEF3F6"/>
          </w:tcPr>
          <w:p>
            <w:r/>
            <w:r>
              <w:rPr>
                <w:sz w:val="18"/>
              </w:rPr>
              <w:t>A9.2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Issue CO-011 and update charter schedule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Felix Brandt</w:t>
            </w:r>
          </w:p>
        </w:tc>
        <w:tc>
          <w:tcPr>
            <w:tcW w:type="dxa" w:w="1318"/>
            <w:shd w:val="clear" w:color="auto" w:fill="EEF3F6"/>
          </w:tcPr>
          <w:p>
            <w:r/>
            <w:r>
              <w:rPr>
                <w:sz w:val="18"/>
              </w:rPr>
              <w:t>30 Sep 2026</w:t>
            </w:r>
          </w:p>
        </w:tc>
        <w:tc>
          <w:tcPr>
            <w:tcW w:type="dxa" w:w="941"/>
            <w:shd w:val="clear" w:color="auto" w:fill="EEF3F6"/>
          </w:tcPr>
          <w:p>
            <w:r/>
            <w:r>
              <w:rPr>
                <w:sz w:val="18"/>
              </w:rPr>
              <w:t>Closed</w:t>
            </w:r>
          </w:p>
        </w:tc>
      </w:tr>
      <w:tr>
        <w:tc>
          <w:tcPr>
            <w:tcW w:type="dxa" w:w="565"/>
          </w:tcPr>
          <w:p>
            <w:r/>
            <w:r>
              <w:rPr>
                <w:sz w:val="18"/>
              </w:rPr>
              <w:t>A9.3</w:t>
            </w:r>
          </w:p>
        </w:tc>
        <w:tc>
          <w:tcPr>
            <w:tcW w:type="dxa" w:w="4706"/>
          </w:tcPr>
          <w:p>
            <w:r/>
            <w:r>
              <w:rPr>
                <w:sz w:val="18"/>
              </w:rPr>
              <w:t>Escalation meeting Severn CEO level if CO-010 not agreed</w:t>
            </w:r>
          </w:p>
        </w:tc>
        <w:tc>
          <w:tcPr>
            <w:tcW w:type="dxa" w:w="1882"/>
          </w:tcPr>
          <w:p>
            <w:r/>
            <w:r>
              <w:rPr>
                <w:sz w:val="18"/>
              </w:rPr>
              <w:t>Elena Márquez</w:t>
            </w:r>
          </w:p>
        </w:tc>
        <w:tc>
          <w:tcPr>
            <w:tcW w:type="dxa" w:w="1318"/>
          </w:tcPr>
          <w:p>
            <w:r/>
            <w:r>
              <w:rPr>
                <w:sz w:val="18"/>
              </w:rPr>
              <w:t>15 Oct 2026</w:t>
            </w:r>
          </w:p>
        </w:tc>
        <w:tc>
          <w:tcPr>
            <w:tcW w:type="dxa" w:w="941"/>
          </w:tcPr>
          <w:p>
            <w:r/>
            <w:r>
              <w:rPr>
                <w:sz w:val="18"/>
              </w:rPr>
              <w:t>Open</w:t>
            </w:r>
          </w:p>
        </w:tc>
      </w:tr>
      <w:tr>
        <w:tc>
          <w:tcPr>
            <w:tcW w:type="dxa" w:w="565"/>
            <w:shd w:val="clear" w:color="auto" w:fill="EEF3F6"/>
          </w:tcPr>
          <w:p>
            <w:r/>
            <w:r>
              <w:rPr>
                <w:sz w:val="18"/>
              </w:rPr>
              <w:t>A9.4</w:t>
            </w:r>
          </w:p>
        </w:tc>
        <w:tc>
          <w:tcPr>
            <w:tcW w:type="dxa" w:w="4706"/>
            <w:shd w:val="clear" w:color="auto" w:fill="EEF3F6"/>
          </w:tcPr>
          <w:p>
            <w:r/>
            <w:r>
              <w:rPr>
                <w:sz w:val="18"/>
              </w:rPr>
              <w:t>Q3 lender report incl. recovery plan</w:t>
            </w:r>
          </w:p>
        </w:tc>
        <w:tc>
          <w:tcPr>
            <w:tcW w:type="dxa" w:w="1882"/>
            <w:shd w:val="clear" w:color="auto" w:fill="EEF3F6"/>
          </w:tcPr>
          <w:p>
            <w:r/>
            <w:r>
              <w:rPr>
                <w:sz w:val="18"/>
              </w:rPr>
              <w:t>Marcus Bell</w:t>
            </w:r>
          </w:p>
        </w:tc>
        <w:tc>
          <w:tcPr>
            <w:tcW w:type="dxa" w:w="1318"/>
            <w:shd w:val="clear" w:color="auto" w:fill="EEF3F6"/>
          </w:tcPr>
          <w:p>
            <w:r/>
            <w:r>
              <w:rPr>
                <w:sz w:val="18"/>
              </w:rPr>
              <w:t>15 Oct 2026</w:t>
            </w:r>
          </w:p>
        </w:tc>
        <w:tc>
          <w:tcPr>
            <w:tcW w:type="dxa" w:w="941"/>
            <w:shd w:val="clear" w:color="auto" w:fill="EEF3F6"/>
          </w:tcPr>
          <w:p>
            <w:r/>
            <w:r>
              <w:rPr>
                <w:sz w:val="18"/>
              </w:rPr>
              <w:t>Open</w:t>
            </w:r>
          </w:p>
        </w:tc>
      </w:tr>
    </w:tbl>
    <w:p/>
    <w:p>
      <w:r>
        <w:t>Next meeting: 21 October 2026.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30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4A5A68"/>
        <w:sz w:val="16"/>
      </w:rPr>
      <w:t>Steering Committee Minutes – 23 September 2026  ·  HB-PM-MIN-SC09</w:t>
      <w:tab/>
      <w:tab/>
      <w:t xml:space="preserve">Page </w:t>
    </w:r>
    <w:r>
      <w:rPr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b/>
        <w:color w:val="0B3C5D"/>
        <w:sz w:val="18"/>
      </w:rPr>
      <w:t>WEYLAND</w:t>
    </w:r>
    <w:r>
      <w:rPr>
        <w:color w:val="1FA2A6"/>
        <w:sz w:val="18"/>
      </w:rPr>
      <w:t xml:space="preserve"> ENERGY</w:t>
    </w:r>
    <w:r>
      <w:rPr>
        <w:b/>
        <w:color w:val="E4572E"/>
        <w:sz w:val="16"/>
      </w:rPr>
      <w:tab/>
      <w:tab/>
      <w:t>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rial" w:hAnsi="Arial"/>
      <w:color w:val="22303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rial" w:hAnsi="Arial" w:cs="Arial" w:eastAsia="Arial"/>
      <w:b/>
      <w:bCs/>
      <w:color w:val="0B3C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rial" w:hAnsi="Arial" w:cs="Arial" w:eastAsia="Arial"/>
      <w:b/>
      <w:bCs/>
      <w:color w:val="1FA2A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Steering Committee Minutes – 23 September 2026</dc:title>
  <dc:subject>Harrow Bay Offshore Wind</dc:subject>
  <dc:creator>Elena Márquez</dc:creator>
  <cp:keywords>confidential, board</cp:keywords>
  <dc:description>generated by python-docx</dc:description>
  <cp:lastModifiedBy>Elena Márquez</cp:lastModifiedBy>
  <cp:revision>1</cp:revision>
  <dcterms:created xsi:type="dcterms:W3CDTF">2026-09-24T10:00:00Z</dcterms:created>
  <dcterms:modified xsi:type="dcterms:W3CDTF">2026-09-26T10:00:00Z</dcterms:modified>
  <cp:category/>
</cp:coreProperties>
</file>