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Contract Summary WE-CON-2025-031</w:t>
      </w:r>
    </w:p>
    <w:p>
      <w:r>
        <w:rPr>
          <w:color w:val="1FA2A6"/>
          <w:sz w:val="25"/>
        </w:rPr>
        <w:t>Severn Subsea Cables Ltd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28 September 2026  ·  WE-CON-2025-031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0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0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Contract no.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WE-CON-2025-031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Counterparty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Severn Subsea Cables Ltd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Signed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2025-09-15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Form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FIDIC Yellow Book (2017), amended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Weyland contract owner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Mei Tanaka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Legal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Priya Nair / Lukas Meyer</w:t>
            </w:r>
          </w:p>
        </w:tc>
      </w:tr>
    </w:tbl>
    <w:p/>
    <w:p>
      <w:pPr>
        <w:pStyle w:val="Heading1"/>
      </w:pPr>
      <w:r>
        <w:t>Scope</w:t>
      </w:r>
    </w:p>
    <w:p>
      <w:r>
        <w:t>Design, manufacture, testing, installation and burial of 2 × 220 kV export cables (62 km each) and ~95 km of 66 kV array cables.</w:t>
      </w:r>
    </w:p>
    <w:p>
      <w:pPr>
        <w:pStyle w:val="Heading1"/>
      </w:pPr>
      <w:r>
        <w:t>Price</w:t>
      </w:r>
    </w:p>
    <w:p>
      <w:r>
        <w:t>EUR 232.0 m fixed price for supply and installation; CO-010 (EUR 6.8 m resequencing) under negotiation.</w:t>
      </w:r>
    </w:p>
    <w:p>
      <w:pPr>
        <w:pStyle w:val="Heading1"/>
      </w:pPr>
      <w:r>
        <w:t>Payment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27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Share / timing</w:t>
            </w:r>
          </w:p>
        </w:tc>
      </w:tr>
      <w:tr>
        <w:tc>
          <w:tcPr>
            <w:tcW w:type="dxa" w:w="6274"/>
          </w:tcPr>
          <w:p>
            <w:r/>
            <w:r>
              <w:rPr>
                <w:sz w:val="18"/>
              </w:rPr>
              <w:t>Advance payment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10 %</w:t>
            </w:r>
          </w:p>
        </w:tc>
      </w:tr>
      <w:tr>
        <w:tc>
          <w:tcPr>
            <w:tcW w:type="dxa" w:w="6274"/>
            <w:shd w:val="clear" w:color="auto" w:fill="EEF3F6"/>
          </w:tcPr>
          <w:p>
            <w:r/>
            <w:r>
              <w:rPr>
                <w:sz w:val="18"/>
              </w:rPr>
              <w:t>Design approval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5 %</w:t>
            </w:r>
          </w:p>
        </w:tc>
      </w:tr>
      <w:tr>
        <w:tc>
          <w:tcPr>
            <w:tcW w:type="dxa" w:w="6274"/>
          </w:tcPr>
          <w:p>
            <w:r/>
            <w:r>
              <w:rPr>
                <w:sz w:val="18"/>
              </w:rPr>
              <w:t>Factory acceptance test (per cable)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35 %</w:t>
            </w:r>
          </w:p>
        </w:tc>
      </w:tr>
      <w:tr>
        <w:tc>
          <w:tcPr>
            <w:tcW w:type="dxa" w:w="6274"/>
            <w:shd w:val="clear" w:color="auto" w:fill="EEF3F6"/>
          </w:tcPr>
          <w:p>
            <w:r/>
            <w:r>
              <w:rPr>
                <w:sz w:val="18"/>
              </w:rPr>
              <w:t>Load-out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20 %</w:t>
            </w:r>
          </w:p>
        </w:tc>
      </w:tr>
      <w:tr>
        <w:tc>
          <w:tcPr>
            <w:tcW w:type="dxa" w:w="6274"/>
          </w:tcPr>
          <w:p>
            <w:r/>
            <w:r>
              <w:rPr>
                <w:sz w:val="18"/>
              </w:rPr>
              <w:t>Installation and burial complete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20 %</w:t>
            </w:r>
          </w:p>
        </w:tc>
      </w:tr>
      <w:tr>
        <w:tc>
          <w:tcPr>
            <w:tcW w:type="dxa" w:w="6274"/>
            <w:shd w:val="clear" w:color="auto" w:fill="EEF3F6"/>
          </w:tcPr>
          <w:p>
            <w:r/>
            <w:r>
              <w:rPr>
                <w:sz w:val="18"/>
              </w:rPr>
              <w:t>Post-installation test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10 %</w:t>
            </w:r>
          </w:p>
        </w:tc>
      </w:tr>
    </w:tbl>
    <w:p/>
    <w:p>
      <w:pPr>
        <w:pStyle w:val="Heading1"/>
      </w:pPr>
      <w:r>
        <w:t>Liquidated damages</w:t>
      </w:r>
    </w:p>
    <w:p>
      <w:r>
        <w:t>Delay LDs EUR 85,000 per day after a 21-day grace period from the guaranteed delivery date; cap 10 % of contract price (EUR 23.2 m).</w:t>
      </w:r>
    </w:p>
    <w:p>
      <w:pPr>
        <w:pStyle w:val="Heading1"/>
      </w:pPr>
      <w:r>
        <w:t>Warranty</w:t>
      </w:r>
    </w:p>
    <w:p>
      <w:r>
        <w:t>5-year defects liability on cable and accessories; 2-year on installation works.</w:t>
      </w:r>
    </w:p>
    <w:p>
      <w:pPr>
        <w:pStyle w:val="Heading1"/>
      </w:pPr>
      <w:r>
        <w:t>Key points for the project team</w:t>
      </w:r>
    </w:p>
    <w:p>
      <w:pPr>
        <w:pStyle w:val="ListBullet"/>
      </w:pPr>
      <w:r>
        <w:t>Export cable 1: manufactured, FAT passed 2 June 2026, delivery 11 December 2026</w:t>
      </w:r>
    </w:p>
    <w:p>
      <w:pPr>
        <w:pStyle w:val="ListBullet"/>
      </w:pPr>
      <w:r>
        <w:t>Export cable 2: factory test failure 21 July 2026 – 9 km re-manufacture, delivery 12 March 2027 (HB-RISK-017)</w:t>
      </w:r>
    </w:p>
    <w:p>
      <w:pPr>
        <w:pStyle w:val="ListBullet"/>
      </w:pPr>
      <w:r>
        <w:t>Array cables: 95 km, manufacture from November 2026</w:t>
      </w:r>
    </w:p>
    <w:p>
      <w:pPr>
        <w:pStyle w:val="ListBullet"/>
      </w:pPr>
      <w:r>
        <w:t>Lay campaign resequenced per SteerCo decision D-013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This is a summary for project use only. In case of doubt the signed contract in the Legal &amp; Contracts space prevails.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Contract Summary WE-CON-2025-031  ·  WE-CON-2025-031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WE-CON-2025-031</dc:title>
  <dc:subject>Severn Subsea Cables Ltd</dc:subject>
  <dc:creator>Priya Nair</dc:creator>
  <cp:keywords>confidential</cp:keywords>
  <dc:description>generated by python-docx</dc:description>
  <cp:lastModifiedBy>Priya Nair</cp:lastModifiedBy>
  <cp:revision>1</cp:revision>
  <dcterms:created xsi:type="dcterms:W3CDTF">2025-09-27T10:00:00Z</dcterms:created>
  <dcterms:modified xsi:type="dcterms:W3CDTF">2026-09-28T10:00:00Z</dcterms:modified>
  <cp:category/>
</cp:coreProperties>
</file>