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Reservation of Rights – Export Cable 2</w:t>
      </w:r>
    </w:p>
    <w:p>
      <w:r>
        <w:rPr>
          <w:color w:val="1FA2A6"/>
          <w:sz w:val="25"/>
        </w:rPr>
        <w:t>Letter ref. WE-HB-L-0388</w:t>
      </w:r>
    </w:p>
    <w:p>
      <w:pPr>
        <w:pBdr>
          <w:bottom w:val="single" w:sz="12" w:space="6" w:color="1FA2A6"/>
        </w:pBdr>
      </w:pPr>
      <w:r>
        <w:rPr>
          <w:color w:val="4A5A68"/>
          <w:sz w:val="18"/>
        </w:rPr>
        <w:t>Priya Nair  ·  24 July 2026</w:t>
      </w:r>
    </w:p>
    <w:p>
      <w:r>
        <w:t>To: Severn Subsea Cables Ltd, attn. Richard Hale</w:t>
        <w:br/>
        <w:t>Date: 24 July 2026</w:t>
      </w:r>
    </w:p>
    <w:p>
      <w:r>
        <w:rPr>
          <w:b/>
        </w:rPr>
        <w:t>Re: Contract WE-CON-2025-031 – Your notice of 21 July 2026 (ref. SSC-HB-L-0219)</w:t>
      </w:r>
    </w:p>
    <w:p>
      <w:r>
        <w:t>Dear Mr Hale,</w:t>
      </w:r>
    </w:p>
    <w:p>
      <w:r>
        <w:t>We acknowledge receipt of your notice regarding the factory test failure of export cable 2. Weyland Energy GmbH does not accept that the event entitles the Contractor to an extension of time under Clause 8.4. The test failure is a matter within the Contractor's risk under Clause 7 (Plant, Materials and Workmanship).</w:t>
      </w:r>
    </w:p>
    <w:p>
      <w:r>
        <w:t>We hereby reserve all our rights under the Contract, including but not limited to our right to delay liquidated damages under Clause 8.7 (EUR 85,000 per day after the 21-day grace period) and to recover additional costs arising from the resequencing of the installation campaign.</w:t>
      </w:r>
    </w:p>
    <w:p>
      <w:r>
        <w:t>We request (1) the root cause analysis by 7 August 2026, (2) a recovery programme by 14 August 2026, (3) access for our representative Mei Tanaka and an independent HV specialist to the factory investigation, and (4) confirmation that the revised test regime will be applied to all remaining factory joints of export cable 2 and the array cables.</w:t>
      </w:r>
    </w:p>
    <w:p>
      <w:r>
        <w:t>Yours sincerely,</w:t>
        <w:br/>
        <w:t>Elena Márquez, Project Director</w:t>
        <w:br/>
        <w:t>Priya Nair, Head of Legal &amp; Contracts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Reservation of Rights – Export Cable 2</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Reservation of Rights – Export Cable 2</dc:title>
  <dc:subject>Letter ref. WE-HB-L-0388</dc:subject>
  <dc:creator>Priya Nair</dc:creator>
  <cp:keywords>signed, confidential</cp:keywords>
  <dc:description>generated by python-docx</dc:description>
  <cp:lastModifiedBy>Priya Nair</cp:lastModifiedBy>
  <cp:revision>1</cp:revision>
  <dcterms:created xsi:type="dcterms:W3CDTF">2026-07-23T10:00:00Z</dcterms:created>
  <dcterms:modified xsi:type="dcterms:W3CDTF">2026-07-24T10:00:00Z</dcterms:modified>
  <cp:category/>
</cp:coreProperties>
</file>