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Quarterly Construction Report Q3 2026</w:t>
      </w:r>
    </w:p>
    <w:p>
      <w:r>
        <w:rPr>
          <w:color w:val="1FA2A6"/>
          <w:sz w:val="25"/>
        </w:rPr>
        <w:t>Harrow Bay Offshore Wind · for Hanseatic Infrastructure Bank and the lender group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Marcus Bell  ·  02 October 2026  ·  HB-FIN-LR-2026-Q3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for review by Elena Márquez and Jonas Richter before submission on 15 October.</w:t>
            </w:r>
          </w:p>
        </w:tc>
      </w:tr>
    </w:tbl>
    <w:p/>
    <w:p>
      <w:pPr>
        <w:pStyle w:val="Heading1"/>
      </w:pPr>
      <w:r>
        <w:t>1. Executive summary</w:t>
      </w:r>
    </w:p>
    <w:p>
      <w:r>
        <w:t>By 30 September 2026, 13 of 40 monopiles were installed (HB-A14 completed on 30 September, reported after period end), against 16 in the baseline. The offshore substation topside was installed on 19 August. The Steering Committee approved a recovery plan on 23 September (charter option 2, 24/7 piling). Forecast for the last monopile is 26 February 2027; first power remains 30 September 2027.</w:t>
      </w:r>
    </w:p>
    <w:p>
      <w:pPr>
        <w:pStyle w:val="Heading1"/>
      </w:pPr>
      <w:r>
        <w:t>2. Construction progress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Workstream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Foundations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13/40 monopiles installed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Offshore substation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Topside installed 19 Aug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Export cables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Cable 2 delayed – delivery 12 Mar 2027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Turbines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Manufacturing started in Aarhus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Onshore substation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Civil works 62 %, transformers ordered</w:t>
            </w:r>
          </w:p>
        </w:tc>
      </w:tr>
    </w:tbl>
    <w:p/>
    <w:p>
      <w:pPr>
        <w:pStyle w:val="Heading1"/>
      </w:pPr>
      <w:r>
        <w:t>3. Cost and financing</w:t>
      </w:r>
    </w:p>
    <w:p>
      <w:r>
        <w:t>Actual spend to 30 September 2026: EUR 789.9 m (48.8 % of EAC). EAC remains EUR 1,620 m; contingency remaining EUR 31.4 m. Potential recovery of liquidated damages from Severn Subsea Cables (est. EUR 4.2 m) is not included.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2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row-bay-capex-trend-e56a0fe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A5A68"/>
          <w:sz w:val="17"/>
        </w:rPr>
        <w:t>Capex 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Drawdown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Amount (EUR m)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DR-06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15 Jul 2026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48.1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DR-07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17 Aug 2026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62.9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DR-08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15 Sep 2026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57.3</w:t>
            </w:r>
          </w:p>
        </w:tc>
      </w:tr>
    </w:tbl>
    <w:p/>
    <w:p>
      <w:pPr>
        <w:pStyle w:val="Heading1"/>
      </w:pPr>
      <w:r>
        <w:t>4. Key 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384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768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0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Rating</w:t>
            </w:r>
          </w:p>
        </w:tc>
        <w:tc>
          <w:tcPr>
            <w:tcW w:type="dxa" w:w="4152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1384"/>
          </w:tcPr>
          <w:p>
            <w:r/>
            <w:r>
              <w:rPr>
                <w:sz w:val="18"/>
              </w:rPr>
              <w:t>HB-RISK-017</w:t>
            </w:r>
          </w:p>
        </w:tc>
        <w:tc>
          <w:tcPr>
            <w:tcW w:type="dxa" w:w="2768"/>
          </w:tcPr>
          <w:p>
            <w:r/>
            <w:r>
              <w:rPr>
                <w:sz w:val="18"/>
              </w:rPr>
              <w:t>Export cable 2 delay (Severn)</w:t>
            </w:r>
          </w:p>
        </w:tc>
        <w:tc>
          <w:tcPr>
            <w:tcW w:type="dxa" w:w="1107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4152"/>
          </w:tcPr>
          <w:p>
            <w:r/>
            <w:r>
              <w:rPr>
                <w:sz w:val="18"/>
              </w:rPr>
              <w:t>Resequenced cable lay; LDs under WE-CON-2025-031</w:t>
            </w:r>
          </w:p>
        </w:tc>
      </w:tr>
      <w:tr>
        <w:tc>
          <w:tcPr>
            <w:tcW w:type="dxa" w:w="1384"/>
            <w:shd w:val="clear" w:color="auto" w:fill="EEF3F6"/>
          </w:tcPr>
          <w:p>
            <w:r/>
            <w:r>
              <w:rPr>
                <w:sz w:val="18"/>
              </w:rPr>
              <w:t>HB-RISK-029</w:t>
            </w:r>
          </w:p>
        </w:tc>
        <w:tc>
          <w:tcPr>
            <w:tcW w:type="dxa" w:w="2768"/>
            <w:shd w:val="clear" w:color="auto" w:fill="EEF3F6"/>
          </w:tcPr>
          <w:p>
            <w:r/>
            <w:r>
              <w:rPr>
                <w:sz w:val="18"/>
              </w:rPr>
              <w:t>Monopile campaign into winter</w:t>
            </w:r>
          </w:p>
        </w:tc>
        <w:tc>
          <w:tcPr>
            <w:tcW w:type="dxa" w:w="1107"/>
            <w:shd w:val="clear" w:color="auto" w:fill="EEF3F6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4152"/>
            <w:shd w:val="clear" w:color="auto" w:fill="EEF3F6"/>
          </w:tcPr>
          <w:p>
            <w:r/>
            <w:r>
              <w:rPr>
                <w:sz w:val="18"/>
              </w:rPr>
              <w:t>Charter option 2, 24/7 piling</w:t>
            </w:r>
          </w:p>
        </w:tc>
      </w:tr>
      <w:tr>
        <w:tc>
          <w:tcPr>
            <w:tcW w:type="dxa" w:w="1384"/>
          </w:tcPr>
          <w:p>
            <w:r/>
            <w:r>
              <w:rPr>
                <w:sz w:val="18"/>
              </w:rPr>
              <w:t>HB-RISK-030</w:t>
            </w:r>
          </w:p>
        </w:tc>
        <w:tc>
          <w:tcPr>
            <w:tcW w:type="dxa" w:w="2768"/>
          </w:tcPr>
          <w:p>
            <w:r/>
            <w:r>
              <w:rPr>
                <w:sz w:val="18"/>
              </w:rPr>
              <w:t>Turbine installation start</w:t>
            </w:r>
          </w:p>
        </w:tc>
        <w:tc>
          <w:tcPr>
            <w:tcW w:type="dxa" w:w="1107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4152"/>
          </w:tcPr>
          <w:p>
            <w:r/>
            <w:r>
              <w:rPr>
                <w:sz w:val="18"/>
              </w:rPr>
              <w:t>Install string A first</w:t>
            </w:r>
          </w:p>
        </w:tc>
      </w:tr>
    </w:tbl>
    <w:p/>
    <w:p>
      <w:pPr>
        <w:pStyle w:val="Heading1"/>
      </w:pPr>
      <w:r>
        <w:t>5. HSE and environment</w:t>
      </w:r>
    </w:p>
    <w:p>
      <w:r>
        <w:t>Zero lost time injuries. Noise monitoring: one exceedance at HB-A04 (April), all other piles compliant. Marine mammal and seabird monitoring by Marlow Ecology in line with consent conditions.</w:t>
      </w:r>
    </w:p>
    <w:p>
      <w:pPr>
        <w:pStyle w:val="Heading1"/>
      </w:pPr>
      <w:r>
        <w:t>6. Compliance with finance documents</w:t>
      </w:r>
    </w:p>
    <w:p>
      <w:r>
        <w:t>No event of default. All information undertakings met. The Lenders' Technical Adviser visited the Port of Eastholm and MV Sea Atlas on 8 September 2026 and confirmed the recovery plan as reasonable.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Quarterly Construction Report Q3 2026  ·  HB-FIN-LR-2026-Q3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Construction Report Q3 2026</dc:title>
  <dc:subject>Harrow Bay Offshore Wind · for Hanseatic Infrastructure Bank and the lender group</dc:subject>
  <dc:creator>Marcus Bell</dc:creator>
  <cp:keywords>draft, confidential</cp:keywords>
  <dc:description>generated by python-docx</dc:description>
  <cp:lastModifiedBy>Marcus Bell</cp:lastModifiedBy>
  <cp:revision>1</cp:revision>
  <dcterms:created xsi:type="dcterms:W3CDTF">2026-09-28T10:00:00Z</dcterms:created>
  <dcterms:modified xsi:type="dcterms:W3CDTF">2026-10-02T10:00:00Z</dcterms:modified>
  <cp:category/>
</cp:coreProperties>
</file>