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Contractor HSE Audit IA-2026-05</w:t>
      </w:r>
    </w:p>
    <w:p>
      <w:r>
        <w:rPr>
          <w:color w:val="1FA2A6"/>
          <w:sz w:val="25"/>
        </w:rPr>
        <w:t>Atlas Marine Contractors – MV Sea Atlas (WE-CON-2025-040)</w:t>
      </w:r>
    </w:p>
    <w:p>
      <w:pPr>
        <w:pBdr>
          <w:bottom w:val="single" w:sz="12" w:space="6" w:color="1FA2A6"/>
        </w:pBdr>
      </w:pPr>
      <w:r>
        <w:rPr>
          <w:color w:val="4A5A68"/>
          <w:sz w:val="18"/>
        </w:rPr>
        <w:t>Hannah Weber  ·  01 July 2026  ·  IA-2026-05</w:t>
      </w:r>
    </w:p>
    <w:p>
      <w:pPr>
        <w:pStyle w:val="Heading1"/>
      </w:pPr>
      <w:r>
        <w:t>1. Background</w:t>
      </w:r>
    </w:p>
    <w:p>
      <w:r>
        <w:t>This audit was brought forward after the high-potential near miss HSE-INC-2026-018 on 3 June 2026. It focused on dropped objects prevention, lifting operations, permit to work and the bridging document between Weyland and Atlas Marine Contractors. The audit took place on board MV Sea Atlas on 24 June 2026 (Yusuf Demir, lead; Felix Brandt; HSE superintendent of Atlas Marine).</w:t>
      </w:r>
    </w:p>
    <w:p>
      <w:pPr>
        <w:pStyle w:val="Heading1"/>
      </w:pPr>
      <w:r>
        <w:t>2. Findings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66"/>
            <w:shd w:val="clear" w:color="auto" w:fill="0B3C5D"/>
          </w:tcPr>
          <w:p>
            <w:r/>
            <w:r>
              <w:rPr>
                <w:b/>
                <w:color w:val="FFFFFF"/>
                <w:sz w:val="18"/>
              </w:rPr>
              <w:t>No.</w:t>
            </w:r>
          </w:p>
        </w:tc>
        <w:tc>
          <w:tcPr>
            <w:tcW w:type="dxa" w:w="1304"/>
            <w:shd w:val="clear" w:color="auto" w:fill="0B3C5D"/>
          </w:tcPr>
          <w:p>
            <w:r/>
            <w:r>
              <w:rPr>
                <w:b/>
                <w:color w:val="FFFFFF"/>
                <w:sz w:val="18"/>
              </w:rPr>
              <w:t>Type</w:t>
            </w:r>
          </w:p>
        </w:tc>
        <w:tc>
          <w:tcPr>
            <w:tcW w:type="dxa" w:w="5591"/>
            <w:shd w:val="clear" w:color="auto" w:fill="0B3C5D"/>
          </w:tcPr>
          <w:p>
            <w:r/>
            <w:r>
              <w:rPr>
                <w:b/>
                <w:color w:val="FFFFFF"/>
                <w:sz w:val="18"/>
              </w:rPr>
              <w:t>Finding</w:t>
            </w:r>
          </w:p>
        </w:tc>
        <w:tc>
          <w:tcPr>
            <w:tcW w:type="dxa" w:w="2050"/>
            <w:shd w:val="clear" w:color="auto" w:fill="0B3C5D"/>
          </w:tcPr>
          <w:p>
            <w:r/>
            <w:r>
              <w:rPr>
                <w:b/>
                <w:color w:val="FFFFFF"/>
                <w:sz w:val="18"/>
              </w:rPr>
              <w:t>Status (1 Oct 2026)</w:t>
            </w:r>
          </w:p>
        </w:tc>
      </w:tr>
      <w:tr>
        <w:tc>
          <w:tcPr>
            <w:tcW w:type="dxa" w:w="466"/>
          </w:tcPr>
          <w:p>
            <w:r/>
            <w:r>
              <w:rPr>
                <w:sz w:val="18"/>
              </w:rPr>
              <w:t>1</w:t>
            </w:r>
          </w:p>
        </w:tc>
        <w:tc>
          <w:tcPr>
            <w:tcW w:type="dxa" w:w="1304"/>
          </w:tcPr>
          <w:p>
            <w:r/>
            <w:r>
              <w:rPr>
                <w:sz w:val="18"/>
              </w:rPr>
              <w:t>Major NC</w:t>
            </w:r>
          </w:p>
        </w:tc>
        <w:tc>
          <w:tcPr>
            <w:tcW w:type="dxa" w:w="5591"/>
          </w:tcPr>
          <w:p>
            <w:r/>
            <w:r>
              <w:rPr>
                <w:sz w:val="18"/>
              </w:rPr>
              <w:t>DROPS register for the pile gripper frame did not exist before 3 June; survey now completed but 11 secondary retention items still missing</w:t>
            </w:r>
          </w:p>
        </w:tc>
        <w:tc>
          <w:tcPr>
            <w:tcW w:type="dxa" w:w="2050"/>
          </w:tcPr>
          <w:p>
            <w:r/>
            <w:r>
              <w:rPr>
                <w:sz w:val="18"/>
              </w:rPr>
              <w:t>Open – 3 items remaining</w:t>
            </w:r>
          </w:p>
        </w:tc>
      </w:tr>
      <w:tr>
        <w:tc>
          <w:tcPr>
            <w:tcW w:type="dxa" w:w="466"/>
            <w:shd w:val="clear" w:color="auto" w:fill="EEF3F6"/>
          </w:tcPr>
          <w:p>
            <w:r/>
            <w:r>
              <w:rPr>
                <w:sz w:val="18"/>
              </w:rPr>
              <w:t>2</w:t>
            </w:r>
          </w:p>
        </w:tc>
        <w:tc>
          <w:tcPr>
            <w:tcW w:type="dxa" w:w="1304"/>
            <w:shd w:val="clear" w:color="auto" w:fill="EEF3F6"/>
          </w:tcPr>
          <w:p>
            <w:r/>
            <w:r>
              <w:rPr>
                <w:sz w:val="18"/>
              </w:rPr>
              <w:t>Minor NC</w:t>
            </w:r>
          </w:p>
        </w:tc>
        <w:tc>
          <w:tcPr>
            <w:tcW w:type="dxa" w:w="5591"/>
            <w:shd w:val="clear" w:color="auto" w:fill="EEF3F6"/>
          </w:tcPr>
          <w:p>
            <w:r/>
            <w:r>
              <w:rPr>
                <w:sz w:val="18"/>
              </w:rPr>
              <w:t>Tool tethering rule implemented, but 2 of 9 inspected tool bags contained untethered tools</w:t>
            </w:r>
          </w:p>
        </w:tc>
        <w:tc>
          <w:tcPr>
            <w:tcW w:type="dxa" w:w="2050"/>
            <w:shd w:val="clear" w:color="auto" w:fill="EEF3F6"/>
          </w:tcPr>
          <w:p>
            <w:r/>
            <w:r>
              <w:rPr>
                <w:sz w:val="18"/>
              </w:rPr>
              <w:t>Closed</w:t>
            </w:r>
          </w:p>
        </w:tc>
      </w:tr>
      <w:tr>
        <w:tc>
          <w:tcPr>
            <w:tcW w:type="dxa" w:w="466"/>
          </w:tcPr>
          <w:p>
            <w:r/>
            <w:r>
              <w:rPr>
                <w:sz w:val="18"/>
              </w:rPr>
              <w:t>3</w:t>
            </w:r>
          </w:p>
        </w:tc>
        <w:tc>
          <w:tcPr>
            <w:tcW w:type="dxa" w:w="1304"/>
          </w:tcPr>
          <w:p>
            <w:r/>
            <w:r>
              <w:rPr>
                <w:sz w:val="18"/>
              </w:rPr>
              <w:t>Minor NC</w:t>
            </w:r>
          </w:p>
        </w:tc>
        <w:tc>
          <w:tcPr>
            <w:tcW w:type="dxa" w:w="5591"/>
          </w:tcPr>
          <w:p>
            <w:r/>
            <w:r>
              <w:rPr>
                <w:sz w:val="18"/>
              </w:rPr>
              <w:t>Lift plans for routine lifts not signed by the person in charge on 4 of 20 sampled</w:t>
            </w:r>
          </w:p>
        </w:tc>
        <w:tc>
          <w:tcPr>
            <w:tcW w:type="dxa" w:w="2050"/>
          </w:tcPr>
          <w:p>
            <w:r/>
            <w:r>
              <w:rPr>
                <w:sz w:val="18"/>
              </w:rPr>
              <w:t>Closed</w:t>
            </w:r>
          </w:p>
        </w:tc>
      </w:tr>
      <w:tr>
        <w:tc>
          <w:tcPr>
            <w:tcW w:type="dxa" w:w="466"/>
            <w:shd w:val="clear" w:color="auto" w:fill="EEF3F6"/>
          </w:tcPr>
          <w:p>
            <w:r/>
            <w:r>
              <w:rPr>
                <w:sz w:val="18"/>
              </w:rPr>
              <w:t>4</w:t>
            </w:r>
          </w:p>
        </w:tc>
        <w:tc>
          <w:tcPr>
            <w:tcW w:type="dxa" w:w="1304"/>
            <w:shd w:val="clear" w:color="auto" w:fill="EEF3F6"/>
          </w:tcPr>
          <w:p>
            <w:r/>
            <w:r>
              <w:rPr>
                <w:sz w:val="18"/>
              </w:rPr>
              <w:t>Minor NC</w:t>
            </w:r>
          </w:p>
        </w:tc>
        <w:tc>
          <w:tcPr>
            <w:tcW w:type="dxa" w:w="5591"/>
            <w:shd w:val="clear" w:color="auto" w:fill="EEF3F6"/>
          </w:tcPr>
          <w:p>
            <w:r/>
            <w:r>
              <w:rPr>
                <w:sz w:val="18"/>
              </w:rPr>
              <w:t>Permit to work audit trail incomplete for night shift (3 permits)</w:t>
            </w:r>
          </w:p>
        </w:tc>
        <w:tc>
          <w:tcPr>
            <w:tcW w:type="dxa" w:w="2050"/>
            <w:shd w:val="clear" w:color="auto" w:fill="EEF3F6"/>
          </w:tcPr>
          <w:p>
            <w:r/>
            <w:r>
              <w:rPr>
                <w:sz w:val="18"/>
              </w:rPr>
              <w:t>Open</w:t>
            </w:r>
          </w:p>
        </w:tc>
      </w:tr>
      <w:tr>
        <w:tc>
          <w:tcPr>
            <w:tcW w:type="dxa" w:w="466"/>
          </w:tcPr>
          <w:p>
            <w:r/>
            <w:r>
              <w:rPr>
                <w:sz w:val="18"/>
              </w:rPr>
              <w:t>5</w:t>
            </w:r>
          </w:p>
        </w:tc>
        <w:tc>
          <w:tcPr>
            <w:tcW w:type="dxa" w:w="1304"/>
          </w:tcPr>
          <w:p>
            <w:r/>
            <w:r>
              <w:rPr>
                <w:sz w:val="18"/>
              </w:rPr>
              <w:t>Observation</w:t>
            </w:r>
          </w:p>
        </w:tc>
        <w:tc>
          <w:tcPr>
            <w:tcW w:type="dxa" w:w="5591"/>
          </w:tcPr>
          <w:p>
            <w:r/>
            <w:r>
              <w:rPr>
                <w:sz w:val="18"/>
              </w:rPr>
              <w:t>Fatigue: crew working 21 consecutive 12-hour shifts within limits but at upper end</w:t>
            </w:r>
          </w:p>
        </w:tc>
        <w:tc>
          <w:tcPr>
            <w:tcW w:type="dxa" w:w="2050"/>
          </w:tcPr>
          <w:p>
            <w:r/>
            <w:r>
              <w:rPr>
                <w:sz w:val="18"/>
              </w:rPr>
              <w:t>Closed – rota adjusted</w:t>
            </w:r>
          </w:p>
        </w:tc>
      </w:tr>
      <w:tr>
        <w:tc>
          <w:tcPr>
            <w:tcW w:type="dxa" w:w="466"/>
            <w:shd w:val="clear" w:color="auto" w:fill="EEF3F6"/>
          </w:tcPr>
          <w:p>
            <w:r/>
            <w:r>
              <w:rPr>
                <w:sz w:val="18"/>
              </w:rPr>
              <w:t>6</w:t>
            </w:r>
          </w:p>
        </w:tc>
        <w:tc>
          <w:tcPr>
            <w:tcW w:type="dxa" w:w="1304"/>
            <w:shd w:val="clear" w:color="auto" w:fill="EEF3F6"/>
          </w:tcPr>
          <w:p>
            <w:r/>
            <w:r>
              <w:rPr>
                <w:sz w:val="18"/>
              </w:rPr>
              <w:t>Observation</w:t>
            </w:r>
          </w:p>
        </w:tc>
        <w:tc>
          <w:tcPr>
            <w:tcW w:type="dxa" w:w="5591"/>
            <w:shd w:val="clear" w:color="auto" w:fill="EEF3F6"/>
          </w:tcPr>
          <w:p>
            <w:r/>
            <w:r>
              <w:rPr>
                <w:sz w:val="18"/>
              </w:rPr>
              <w:t>Good: crew described the stand-down as useful; near miss reporting up by 40 %</w:t>
            </w:r>
          </w:p>
        </w:tc>
        <w:tc>
          <w:tcPr>
            <w:tcW w:type="dxa" w:w="2050"/>
            <w:shd w:val="clear" w:color="auto" w:fill="EEF3F6"/>
          </w:tcPr>
          <w:p>
            <w:r/>
            <w:r>
              <w:rPr>
                <w:sz w:val="18"/>
              </w:rPr>
              <w:t>–</w:t>
            </w:r>
          </w:p>
        </w:tc>
      </w:tr>
    </w:tbl>
    <w:p/>
    <w:p>
      <w:pPr>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hse-sea-atlas-deck.jpg"/>
                    <pic:cNvPicPr/>
                  </pic:nvPicPr>
                  <pic:blipFill>
                    <a:blip r:embed="rId11"/>
                    <a:stretch>
                      <a:fillRect/>
                    </a:stretch>
                  </pic:blipFill>
                  <pic:spPr>
                    <a:xfrm>
                      <a:off x="0" y="0"/>
                      <a:ext cx="4680000" cy="2632500"/>
                    </a:xfrm>
                    <a:prstGeom prst="rect"/>
                  </pic:spPr>
                </pic:pic>
              </a:graphicData>
            </a:graphic>
          </wp:inline>
        </w:drawing>
      </w:r>
    </w:p>
    <w:p>
      <w:pPr>
        <w:jc w:val="center"/>
      </w:pPr>
      <w:r>
        <w:rPr>
          <w:i/>
          <w:color w:val="4A5A68"/>
          <w:sz w:val="17"/>
        </w:rPr>
        <w:t>Audit on the main deck of MV Sea Atlas</w:t>
      </w:r>
    </w:p>
    <w:p>
      <w:pPr>
        <w:pStyle w:val="Heading1"/>
      </w:pPr>
      <w:r>
        <w:t>3. Conclusion</w:t>
      </w:r>
    </w:p>
    <w:p>
      <w:r>
        <w:t>Atlas Marine Contractors responded quickly and constructively to the near miss. The remaining open items must be closed before the next monopile campaign phase in October 2026. Follow-up audit planned for October.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Contractor HSE Audit IA-2026-05  ·  IA-2026-05</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HSE Audit IA-2026-05</dc:title>
  <dc:subject>Atlas Marine Contractors – MV Sea Atlas (WE-CON-2025-040)</dc:subject>
  <dc:creator>Hannah Weber</dc:creator>
  <cp:keywords>final, confidential</cp:keywords>
  <dc:description>generated by python-docx</dc:description>
  <cp:lastModifiedBy>Hannah Weber</cp:lastModifiedBy>
  <cp:revision>1</cp:revision>
  <dcterms:created xsi:type="dcterms:W3CDTF">2026-06-25T10:00:00Z</dcterms:created>
  <dcterms:modified xsi:type="dcterms:W3CDTF">2026-07-01T10:00:00Z</dcterms:modified>
  <cp:category/>
</cp:coreProperties>
</file>