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Incident Reporting and Investigation Procedure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Hannah Weber  ·  02 July 2026  ·  HSE-PRO-0003</w:t>
      </w:r>
    </w:p>
    <w:p>
      <w:pPr>
        <w:pStyle w:val="Heading1"/>
      </w:pPr>
      <w:r>
        <w:t>1. Report everything</w:t>
      </w:r>
    </w:p>
    <w:p>
      <w:r>
        <w:t>Every injury, environmental incident, property damage, security event, near miss and unsafe condition must be reported – by employees and contractors alike. Use the reporting app or tell your supervisor, who enters it within 24 hours.</w:t>
      </w:r>
    </w:p>
    <w:p>
      <w:pPr>
        <w:pStyle w:val="Heading1"/>
      </w:pPr>
      <w:r>
        <w:t>2. Immediate notification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Notify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Within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Fatality, serious injury, HiPo event, major spill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HSE Manager + CEO + project director / asset manager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 hour (phone)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LTI, RWC, MTC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HSE Manager + line manager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same day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Other incidents and near misses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Reporting app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24 hours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Flash report for HiPo / LTI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Leadership group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24 hours</w:t>
            </w:r>
          </w:p>
        </w:tc>
      </w:tr>
    </w:tbl>
    <w:p/>
    <w:p>
      <w:pPr>
        <w:pStyle w:val="Heading1"/>
      </w:pPr>
      <w:r>
        <w:t>3. Classification and numbering</w:t>
      </w:r>
    </w:p>
    <w:p>
      <w:r>
        <w:t>Incidents are numbered HSE-INC-YYYY-NNN in the HSE incident register. Asset-related events at operating sites may also have a site number (e.g. KR-INC-2026-003 at Kestrel Ridge); the register links both.</w:t>
      </w:r>
    </w:p>
    <w:p>
      <w:pPr>
        <w:pStyle w:val="Heading1"/>
      </w:pPr>
      <w:r>
        <w:t>4. Investigation level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Potential severity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Lead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Report due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High (fatal / life-changing)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ICAM, team incl. contractor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HSE Manager or HSE advisor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15 working days</w:t>
            </w:r>
          </w:p>
        </w:tc>
      </w:tr>
      <w:tr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5 Whys + barrier analysis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Site / project manager with HSE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10 working days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Short analysis in app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Supervisor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5 working days</w:t>
            </w:r>
          </w:p>
        </w:tc>
      </w:tr>
    </w:tbl>
    <w:p/>
    <w:p>
      <w:pPr>
        <w:pStyle w:val="Heading1"/>
      </w:pPr>
      <w:r>
        <w:t>5. Regulatory reporting</w:t>
      </w:r>
    </w:p>
    <w:p>
      <w:pPr>
        <w:pStyle w:val="ListBullet"/>
      </w:pPr>
      <w:r>
        <w:t>UK: RIDDOR – over-7-day injuries within 15 days, specified injuries immediately.</w:t>
      </w:r>
    </w:p>
    <w:p>
      <w:pPr>
        <w:pStyle w:val="ListBullet"/>
      </w:pPr>
      <w:r>
        <w:t>Germany: Unfallanzeige to the Berufsgenossenschaft within 3 days for &gt; 3 days of incapacity.</w:t>
      </w:r>
    </w:p>
    <w:p>
      <w:pPr>
        <w:pStyle w:val="ListBullet"/>
      </w:pPr>
      <w:r>
        <w:t>Denmark: report to Arbejdstilsynet via EASY within 9 days.</w:t>
      </w:r>
    </w:p>
    <w:p>
      <w:pPr>
        <w:pStyle w:val="ListBullet"/>
      </w:pPr>
      <w:r>
        <w:t>Marine incidents and spills: per marine licence and vessel flag state requirements.</w:t>
      </w:r>
    </w:p>
    <w:p>
      <w:pPr>
        <w:pStyle w:val="Heading1"/>
      </w:pPr>
      <w:r>
        <w:t>6. Learning</w:t>
      </w:r>
    </w:p>
    <w:p>
      <w:r>
        <w:t>HiPo events and LTIs are shared as safety alerts within 5 working days. Example: HSE-INC-2026-018 – safety alert SA-2026-04.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Incident Reporting and Investigation Procedure  ·  HSE-PRO-0003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Reporting and Investigation Procedure</dc:title>
  <dc:subject/>
  <dc:creator>Hannah Weber</dc:creator>
  <cp:keywords>approved</cp:keywords>
  <dc:description>generated by python-docx</dc:description>
  <cp:lastModifiedBy>Hannah Weber</cp:lastModifiedBy>
  <cp:revision>1</cp:revision>
  <dcterms:created xsi:type="dcterms:W3CDTF">2023-03-15T10:00:00Z</dcterms:created>
  <dcterms:modified xsi:type="dcterms:W3CDTF">2026-07-02T10:00:00Z</dcterms:modified>
  <cp:category/>
</cp:coreProperties>
</file>