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HSE Monthly Report – January 2026</w:t>
      </w:r>
    </w:p>
    <w:p>
      <w:r>
        <w:rPr>
          <w:color w:val="1FA2A6"/>
          <w:sz w:val="25"/>
        </w:rPr>
        <w:t>Weyland Energy – all sites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Hannah Weber  ·  09 February 2026  ·  HSE-RPT-2026-01</w:t>
      </w:r>
    </w:p>
    <w:p>
      <w:pPr>
        <w:pStyle w:val="Heading1"/>
      </w:pPr>
      <w:r>
        <w:t>1. Headlines</w:t>
      </w:r>
    </w:p>
    <w:p>
      <w:r>
        <w:t>On 14 January turbine T-07 at Kestrel Ridge failed (KR-INC-2026-003). There were no injuries; about 4 litres of gearbox oil were contained in the nacelle drip tray and recorded as a minor environmental incident (HSE-INC-2026-002). The crane lift for the gearbox exchange is planned for early February – HSE will review the lift plan.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3620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Indicator</w:t>
            </w:r>
          </w:p>
        </w:tc>
        <w:tc>
          <w:tcPr>
            <w:tcW w:type="dxa" w:w="1930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January</w:t>
            </w:r>
          </w:p>
        </w:tc>
        <w:tc>
          <w:tcPr>
            <w:tcW w:type="dxa" w:w="1930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YTD 2026</w:t>
            </w:r>
          </w:p>
        </w:tc>
        <w:tc>
          <w:tcPr>
            <w:tcW w:type="dxa" w:w="1930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2025</w:t>
            </w:r>
          </w:p>
        </w:tc>
      </w:tr>
      <w:tr>
        <w:tc>
          <w:tcPr>
            <w:tcW w:type="dxa" w:w="3620"/>
          </w:tcPr>
          <w:p>
            <w:r/>
            <w:r>
              <w:rPr>
                <w:sz w:val="18"/>
              </w:rPr>
              <w:t>Hours worked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126,000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126,000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1,452,000</w:t>
            </w:r>
          </w:p>
        </w:tc>
      </w:tr>
      <w:tr>
        <w:tc>
          <w:tcPr>
            <w:tcW w:type="dxa" w:w="3620"/>
            <w:shd w:val="clear" w:color="auto" w:fill="EEF3F6"/>
          </w:tcPr>
          <w:p>
            <w:r/>
            <w:r>
              <w:rPr>
                <w:sz w:val="18"/>
              </w:rPr>
              <w:t>Lost time injuries</w:t>
            </w:r>
          </w:p>
        </w:tc>
        <w:tc>
          <w:tcPr>
            <w:tcW w:type="dxa" w:w="1930"/>
            <w:shd w:val="clear" w:color="auto" w:fill="EEF3F6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930"/>
            <w:shd w:val="clear" w:color="auto" w:fill="EEF3F6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930"/>
            <w:shd w:val="clear" w:color="auto" w:fill="EEF3F6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3620"/>
          </w:tcPr>
          <w:p>
            <w:r/>
            <w:r>
              <w:rPr>
                <w:sz w:val="18"/>
              </w:rPr>
              <w:t>Recordable injuries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6</w:t>
            </w:r>
          </w:p>
        </w:tc>
      </w:tr>
      <w:tr>
        <w:tc>
          <w:tcPr>
            <w:tcW w:type="dxa" w:w="3620"/>
            <w:shd w:val="clear" w:color="auto" w:fill="EEF3F6"/>
          </w:tcPr>
          <w:p>
            <w:r/>
            <w:r>
              <w:rPr>
                <w:sz w:val="18"/>
              </w:rPr>
              <w:t>First aid cases</w:t>
            </w:r>
          </w:p>
        </w:tc>
        <w:tc>
          <w:tcPr>
            <w:tcW w:type="dxa" w:w="1930"/>
            <w:shd w:val="clear" w:color="auto" w:fill="EEF3F6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930"/>
            <w:shd w:val="clear" w:color="auto" w:fill="EEF3F6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930"/>
            <w:shd w:val="clear" w:color="auto" w:fill="EEF3F6"/>
          </w:tcPr>
          <w:p>
            <w:r/>
            <w:r>
              <w:rPr>
                <w:sz w:val="18"/>
              </w:rPr>
              <w:t>–</w:t>
            </w:r>
          </w:p>
        </w:tc>
      </w:tr>
      <w:tr>
        <w:tc>
          <w:tcPr>
            <w:tcW w:type="dxa" w:w="3620"/>
          </w:tcPr>
          <w:p>
            <w:r/>
            <w:r>
              <w:rPr>
                <w:sz w:val="18"/>
              </w:rPr>
              <w:t>Near misses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307</w:t>
            </w:r>
          </w:p>
        </w:tc>
      </w:tr>
      <w:tr>
        <w:tc>
          <w:tcPr>
            <w:tcW w:type="dxa" w:w="3620"/>
            <w:shd w:val="clear" w:color="auto" w:fill="EEF3F6"/>
          </w:tcPr>
          <w:p>
            <w:r/>
            <w:r>
              <w:rPr>
                <w:sz w:val="18"/>
              </w:rPr>
              <w:t>Safety observations</w:t>
            </w:r>
          </w:p>
        </w:tc>
        <w:tc>
          <w:tcPr>
            <w:tcW w:type="dxa" w:w="1930"/>
            <w:shd w:val="clear" w:color="auto" w:fill="EEF3F6"/>
          </w:tcPr>
          <w:p>
            <w:r/>
            <w:r>
              <w:rPr>
                <w:sz w:val="18"/>
              </w:rPr>
              <w:t>200</w:t>
            </w:r>
          </w:p>
        </w:tc>
        <w:tc>
          <w:tcPr>
            <w:tcW w:type="dxa" w:w="1930"/>
            <w:shd w:val="clear" w:color="auto" w:fill="EEF3F6"/>
          </w:tcPr>
          <w:p>
            <w:r/>
            <w:r>
              <w:rPr>
                <w:sz w:val="18"/>
              </w:rPr>
              <w:t>–</w:t>
            </w:r>
          </w:p>
        </w:tc>
        <w:tc>
          <w:tcPr>
            <w:tcW w:type="dxa" w:w="1930"/>
            <w:shd w:val="clear" w:color="auto" w:fill="EEF3F6"/>
          </w:tcPr>
          <w:p>
            <w:r/>
            <w:r>
              <w:rPr>
                <w:sz w:val="18"/>
              </w:rPr>
              <w:t>–</w:t>
            </w:r>
          </w:p>
        </w:tc>
      </w:tr>
      <w:tr>
        <w:tc>
          <w:tcPr>
            <w:tcW w:type="dxa" w:w="3620"/>
          </w:tcPr>
          <w:p>
            <w:r/>
            <w:r>
              <w:rPr>
                <w:sz w:val="18"/>
              </w:rPr>
              <w:t>LTIFR rolling 12 months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1.37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–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1.38</w:t>
            </w:r>
          </w:p>
        </w:tc>
      </w:tr>
      <w:tr>
        <w:tc>
          <w:tcPr>
            <w:tcW w:type="dxa" w:w="3620"/>
            <w:shd w:val="clear" w:color="auto" w:fill="EEF3F6"/>
          </w:tcPr>
          <w:p>
            <w:r/>
            <w:r>
              <w:rPr>
                <w:sz w:val="18"/>
              </w:rPr>
              <w:t>TRIR rolling 12 months</w:t>
            </w:r>
          </w:p>
        </w:tc>
        <w:tc>
          <w:tcPr>
            <w:tcW w:type="dxa" w:w="1930"/>
            <w:shd w:val="clear" w:color="auto" w:fill="EEF3F6"/>
          </w:tcPr>
          <w:p>
            <w:r/>
            <w:r>
              <w:rPr>
                <w:sz w:val="18"/>
              </w:rPr>
              <w:t>4.11</w:t>
            </w:r>
          </w:p>
        </w:tc>
        <w:tc>
          <w:tcPr>
            <w:tcW w:type="dxa" w:w="1930"/>
            <w:shd w:val="clear" w:color="auto" w:fill="EEF3F6"/>
          </w:tcPr>
          <w:p>
            <w:r/>
            <w:r>
              <w:rPr>
                <w:sz w:val="18"/>
              </w:rPr>
              <w:t>–</w:t>
            </w:r>
          </w:p>
        </w:tc>
        <w:tc>
          <w:tcPr>
            <w:tcW w:type="dxa" w:w="1930"/>
            <w:shd w:val="clear" w:color="auto" w:fill="EEF3F6"/>
          </w:tcPr>
          <w:p>
            <w:r/>
            <w:r>
              <w:rPr>
                <w:sz w:val="18"/>
              </w:rPr>
              <w:t>4.13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2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se-rolling-2026-01-758fb34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2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Hours by group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Group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Hours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Share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Weyland employees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61,000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48 %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O&amp;M contractors (operating assets)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37,000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29 %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Harrow Bay contractors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28,000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22 %</w:t>
            </w:r>
          </w:p>
        </w:tc>
      </w:tr>
    </w:tbl>
    <w:p/>
    <w:p>
      <w:pPr>
        <w:pStyle w:val="Heading1"/>
      </w:pPr>
      <w:r>
        <w:t>3. Leading indicators</w:t>
      </w:r>
    </w:p>
    <w:p>
      <w:pPr>
        <w:pStyle w:val="ListBullet"/>
      </w:pPr>
      <w:r>
        <w:t>Toolbox talks delivered: 95</w:t>
      </w:r>
    </w:p>
    <w:p>
      <w:pPr>
        <w:pStyle w:val="ListBullet"/>
      </w:pPr>
      <w:r>
        <w:t>Management safety walks: 14 (target 12)</w:t>
      </w:r>
    </w:p>
    <w:p>
      <w:pPr>
        <w:pStyle w:val="ListBullet"/>
      </w:pPr>
      <w:r>
        <w:t>Inspections of lifting equipment: 41</w:t>
      </w:r>
    </w:p>
    <w:p>
      <w:pPr>
        <w:pStyle w:val="ListBullet"/>
      </w:pPr>
      <w:r>
        <w:t>Open corrective actions older than 30 days: 11</w:t>
      </w:r>
    </w:p>
    <w:p>
      <w:pPr>
        <w:pStyle w:val="Heading1"/>
      </w:pPr>
      <w:r>
        <w:t>4. Focus for next month</w:t>
      </w:r>
    </w:p>
    <w:p>
      <w:r>
        <w:t>Fatigue management for offshore crews during long weather windows.</w:t>
      </w:r>
    </w:p>
    <w:p>
      <w:r>
        <w:t>Hannah Weber, HSE Manager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HSE Monthly Report – January 2026  ·  HSE-RPT-2026-01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HSE Monthly Report – January 2026</dc:title>
  <dc:subject>Weyland Energy – all sites</dc:subject>
  <dc:creator>Hannah Weber</dc:creator>
  <cp:keywords/>
  <dc:description>generated by python-docx</dc:description>
  <cp:lastModifiedBy>Hannah Weber</cp:lastModifiedBy>
  <cp:revision>1</cp:revision>
  <dcterms:created xsi:type="dcterms:W3CDTF">2026-02-04T10:00:00Z</dcterms:created>
  <dcterms:modified xsi:type="dcterms:W3CDTF">2026-02-09T10:00:00Z</dcterms:modified>
  <cp:category/>
</cp:coreProperties>
</file>