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HSE Monthly Report – February 2026</w:t>
      </w:r>
    </w:p>
    <w:p>
      <w:r>
        <w:rPr>
          <w:color w:val="1FA2A6"/>
          <w:sz w:val="25"/>
        </w:rPr>
        <w:t>Weyland Energy – all sites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08 March 2026  ·  HSE-RPT-2026-02</w:t>
      </w:r>
    </w:p>
    <w:p>
      <w:pPr>
        <w:pStyle w:val="Heading1"/>
      </w:pPr>
      <w:r>
        <w:t>1. Headlines</w:t>
      </w:r>
    </w:p>
    <w:p>
      <w:r>
        <w:t>The T-07 gearbox exchange at Kestrel Ridge (750 t crawler crane, snow on site) was completed without incident on 2–5 February. One medical treatment case at Uckermark Solar (cut to hand).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2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February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YTD 2026</w:t>
            </w:r>
          </w:p>
        </w:tc>
        <w:tc>
          <w:tcPr>
            <w:tcW w:type="dxa" w:w="193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Hours worked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128,000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254,000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1,452,000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Lost time injuries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Recordable injuries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First aid cases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Near misses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307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Safety observations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226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</w:tr>
      <w:tr>
        <w:tc>
          <w:tcPr>
            <w:tcW w:type="dxa" w:w="3620"/>
          </w:tcPr>
          <w:p>
            <w:r/>
            <w:r>
              <w:rPr>
                <w:sz w:val="18"/>
              </w:rPr>
              <w:t>LTIFR rolling 12 months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1.35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</w:tcPr>
          <w:p>
            <w:r/>
            <w:r>
              <w:rPr>
                <w:sz w:val="18"/>
              </w:rPr>
              <w:t>1.38</w:t>
            </w:r>
          </w:p>
        </w:tc>
      </w:tr>
      <w:tr>
        <w:tc>
          <w:tcPr>
            <w:tcW w:type="dxa" w:w="3620"/>
            <w:shd w:val="clear" w:color="auto" w:fill="EEF3F6"/>
          </w:tcPr>
          <w:p>
            <w:r/>
            <w:r>
              <w:rPr>
                <w:sz w:val="18"/>
              </w:rPr>
              <w:t>TRIR rolling 12 months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4.73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930"/>
            <w:shd w:val="clear" w:color="auto" w:fill="EEF3F6"/>
          </w:tcPr>
          <w:p>
            <w:r/>
            <w:r>
              <w:rPr>
                <w:sz w:val="18"/>
              </w:rPr>
              <w:t>4.13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e-rolling-2026-02-4e4338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Hours by 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Weyland employees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62,000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48 %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O&amp;M contractors (operating assets)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35,000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27 %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Harrow Bay contractors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31,000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24 %</w:t>
            </w:r>
          </w:p>
        </w:tc>
      </w:tr>
    </w:tbl>
    <w:p/>
    <w:p>
      <w:pPr>
        <w:pStyle w:val="Heading1"/>
      </w:pPr>
      <w:r>
        <w:t>3. Leading indicators</w:t>
      </w:r>
    </w:p>
    <w:p>
      <w:pPr>
        <w:pStyle w:val="ListBullet"/>
      </w:pPr>
      <w:r>
        <w:t>Toolbox talks delivered: 100</w:t>
      </w:r>
    </w:p>
    <w:p>
      <w:pPr>
        <w:pStyle w:val="ListBullet"/>
      </w:pPr>
      <w:r>
        <w:t>Management safety walks: 9 (target 12)</w:t>
      </w:r>
    </w:p>
    <w:p>
      <w:pPr>
        <w:pStyle w:val="ListBullet"/>
      </w:pPr>
      <w:r>
        <w:t>Inspections of lifting equipment: 40</w:t>
      </w:r>
    </w:p>
    <w:p>
      <w:pPr>
        <w:pStyle w:val="ListBullet"/>
      </w:pPr>
      <w:r>
        <w:t>Open corrective actions older than 30 days: 12</w:t>
      </w:r>
    </w:p>
    <w:p>
      <w:pPr>
        <w:pStyle w:val="Heading1"/>
      </w:pPr>
      <w:r>
        <w:t>4. Focus for next month</w:t>
      </w:r>
    </w:p>
    <w:p>
      <w:r>
        <w:t>Heat stress awareness for nacelle work and solar park maintenance during summer.</w:t>
      </w:r>
    </w:p>
    <w:p>
      <w:r>
        <w:t>Hannah Weber, HSE Manager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HSE Monthly Report – February 2026  ·  HSE-RPT-2026-02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Monthly Report – February 2026</dc:title>
  <dc:subject>Weyland Energy – all sites</dc:subject>
  <dc:creator>Hannah Weber</dc:creator>
  <cp:keywords/>
  <dc:description>generated by python-docx</dc:description>
  <cp:lastModifiedBy>Hannah Weber</cp:lastModifiedBy>
  <cp:revision>1</cp:revision>
  <dcterms:created xsi:type="dcterms:W3CDTF">2026-03-04T10:00:00Z</dcterms:created>
  <dcterms:modified xsi:type="dcterms:W3CDTF">2026-03-08T10:00:00Z</dcterms:modified>
  <cp:category/>
</cp:coreProperties>
</file>