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File Services Migration to OpenCloud</w:t>
      </w:r>
    </w:p>
    <w:p>
      <w:r>
        <w:rPr>
          <w:color w:val="1FA2A6"/>
          <w:sz w:val="25"/>
        </w:rPr>
        <w:t>Project plan – sovereign file sync &amp; share for all spaces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Katarzyna Nowak  ·  02 October 2026  ·  IT-PRJ-2026-03</w:t>
      </w:r>
    </w:p>
    <w:p>
      <w:pPr>
        <w:pStyle w:val="Heading1"/>
      </w:pPr>
      <w:r>
        <w:t>1. Why we are doing this</w:t>
      </w:r>
    </w:p>
    <w:p>
      <w:r>
        <w:t>Weyland's documents live in three places today: Windows file servers in Hamburg and Edinburgh (about 9.6 TB, 2.1 million files), personal OneDrive folders, and a US-hosted file sharing service that 87 colleagues use to exchange files with partners such as Halden Turbine Systems and Marlow Ecology. The result: duplicate versions, links that never expire, no central overview of what is shared with whom – and project data from a critical infrastructure operator stored outside the EU.</w:t>
      </w:r>
    </w:p>
    <w:p>
      <w:r>
        <w:t xml:space="preserve">We will replace this with </w:t>
      </w:r>
      <w:r>
        <w:rPr>
          <w:b/>
        </w:rPr>
        <w:t>one file sync &amp; share platform for all spaces</w:t>
      </w:r>
      <w:r>
        <w:t xml:space="preserve">, based on </w:t>
      </w:r>
      <w:r>
        <w:rPr>
          <w:b/>
        </w:rPr>
        <w:t>OpenCloud</w:t>
      </w:r>
      <w:r>
        <w:t>, an open-source platform, self-hosted in the EU data centres of our MSP Northlight IT Services (Frankfurt / Nuremberg).</w:t>
      </w:r>
    </w:p>
    <w:p>
      <w:pPr>
        <w:pStyle w:val="Heading1"/>
      </w:pPr>
      <w:r>
        <w:t>2. Goals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Goal</w:t>
            </w:r>
          </w:p>
        </w:tc>
        <w:tc>
          <w:tcPr>
            <w:tcW w:type="dxa" w:w="7058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Measure of success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Digital sovereignty</w:t>
            </w:r>
          </w:p>
        </w:tc>
        <w:tc>
          <w:tcPr>
            <w:tcW w:type="dxa" w:w="7058"/>
          </w:tcPr>
          <w:p>
            <w:r/>
            <w:r>
              <w:rPr>
                <w:sz w:val="18"/>
              </w:rPr>
              <w:t>100 % of business documents stored in EU data centres under our control; no proprietary lock-in (open standards, ODF)</w:t>
            </w:r>
          </w:p>
        </w:tc>
      </w:tr>
      <w:tr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Secure partner collaboration</w:t>
            </w:r>
          </w:p>
        </w:tc>
        <w:tc>
          <w:tcPr>
            <w:tcW w:type="dxa" w:w="7058"/>
            <w:shd w:val="clear" w:color="auto" w:fill="EEF3F6"/>
          </w:tcPr>
          <w:p>
            <w:r/>
            <w:r>
              <w:rPr>
                <w:sz w:val="18"/>
              </w:rPr>
              <w:t>All external sharing via guest accounts or federated shares with expiry; legacy SaaS switched off by 31 Jan 2027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One structure</w:t>
            </w:r>
          </w:p>
        </w:tc>
        <w:tc>
          <w:tcPr>
            <w:tcW w:type="dxa" w:w="7058"/>
          </w:tcPr>
          <w:p>
            <w:r/>
            <w:r>
              <w:rPr>
                <w:sz w:val="18"/>
              </w:rPr>
              <w:t>Spaces for every department and project, with managers, editors and viewers – mirrors the organisation</w:t>
            </w:r>
          </w:p>
        </w:tc>
      </w:tr>
      <w:tr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Find things</w:t>
            </w:r>
          </w:p>
        </w:tc>
        <w:tc>
          <w:tcPr>
            <w:tcW w:type="dxa" w:w="7058"/>
            <w:shd w:val="clear" w:color="auto" w:fill="EEF3F6"/>
          </w:tcPr>
          <w:p>
            <w:r/>
            <w:r>
              <w:rPr>
                <w:sz w:val="18"/>
              </w:rPr>
              <w:t>Full-text search across all spaces the user may access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ISO 27001</w:t>
            </w:r>
          </w:p>
        </w:tc>
        <w:tc>
          <w:tcPr>
            <w:tcW w:type="dxa" w:w="7058"/>
          </w:tcPr>
          <w:p>
            <w:r/>
            <w:r>
              <w:rPr>
                <w:sz w:val="18"/>
              </w:rPr>
              <w:t>Evidence for controls 5.14 information transfer, 5.23 cloud services, 8.13 backup</w:t>
            </w:r>
          </w:p>
        </w:tc>
      </w:tr>
      <w:tr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Cost</w:t>
            </w:r>
          </w:p>
        </w:tc>
        <w:tc>
          <w:tcPr>
            <w:tcW w:type="dxa" w:w="7058"/>
            <w:shd w:val="clear" w:color="auto" w:fill="EEF3F6"/>
          </w:tcPr>
          <w:p>
            <w:r/>
            <w:r>
              <w:rPr>
                <w:sz w:val="18"/>
              </w:rPr>
              <w:t>Licence and hosting cost ≤ EUR 150k p.a., lower than today's file servers + SaaS (EUR 182k p.a.)</w:t>
            </w:r>
          </w:p>
        </w:tc>
      </w:tr>
    </w:tbl>
    <w:p/>
    <w:p>
      <w:pPr>
        <w:pStyle w:val="Heading1"/>
      </w:pPr>
      <w:r>
        <w:t>3. Scope</w:t>
      </w:r>
    </w:p>
    <w:p>
      <w:pPr>
        <w:pStyle w:val="ListBullet"/>
      </w:pPr>
      <w:r>
        <w:t>25 spaces: 6 project spaces (Harrow Bay, Millbrook, Kestrel Ridge, Fenwick, Pipeline, Hydrogen), 14 department spaces, 5 cross-functional spaces (Company Handbook, Brand Assets, Annual Report, Sustainability Report, Onboarding &amp; Learning)</w:t>
      </w:r>
    </w:p>
    <w:p>
      <w:pPr>
        <w:pStyle w:val="ListBullet"/>
      </w:pPr>
      <w:r>
        <w:t>Personal folders for all 450 employees (replacing home drives)</w:t>
      </w:r>
    </w:p>
    <w:p>
      <w:pPr>
        <w:pStyle w:val="ListBullet"/>
      </w:pPr>
      <w:r>
        <w:t>~ 60 guest users from partners; federated sharing with partners that run compatible platforms</w:t>
      </w:r>
    </w:p>
    <w:p>
      <w:pPr>
        <w:pStyle w:val="ListBullet"/>
      </w:pPr>
      <w:r>
        <w:t>Out of scope: SCADA historian data, ERP attachments, email archives</w:t>
      </w:r>
    </w:p>
    <w:p>
      <w:pPr>
        <w:pStyle w:val="Heading1"/>
      </w:pPr>
      <w:r>
        <w:t>4. Wave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17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Wave</w:t>
            </w:r>
          </w:p>
        </w:tc>
        <w:tc>
          <w:tcPr>
            <w:tcW w:type="dxa" w:w="3529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Spaces</w:t>
            </w:r>
          </w:p>
        </w:tc>
        <w:tc>
          <w:tcPr>
            <w:tcW w:type="dxa" w:w="117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Users</w:t>
            </w:r>
          </w:p>
        </w:tc>
        <w:tc>
          <w:tcPr>
            <w:tcW w:type="dxa" w:w="117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Go-live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8"/>
              </w:rPr>
              <w:t>Pilot</w:t>
            </w:r>
          </w:p>
        </w:tc>
        <w:tc>
          <w:tcPr>
            <w:tcW w:type="dxa" w:w="3529"/>
          </w:tcPr>
          <w:p>
            <w:r/>
            <w:r>
              <w:rPr>
                <w:sz w:val="18"/>
              </w:rPr>
              <w:t>IT &amp; Security, HR &amp; People, Company Handbook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38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2026-09-07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Done – feedback 4.4/5</w:t>
            </w:r>
          </w:p>
        </w:tc>
      </w:tr>
      <w:tr>
        <w:tc>
          <w:tcPr>
            <w:tcW w:type="dxa" w:w="1176"/>
            <w:shd w:val="clear" w:color="auto" w:fill="EEF3F6"/>
          </w:tcPr>
          <w:p>
            <w:r/>
            <w:r>
              <w:rPr>
                <w:sz w:val="18"/>
              </w:rPr>
              <w:t>Wave 1</w:t>
            </w:r>
          </w:p>
        </w:tc>
        <w:tc>
          <w:tcPr>
            <w:tcW w:type="dxa" w:w="3529"/>
            <w:shd w:val="clear" w:color="auto" w:fill="EEF3F6"/>
          </w:tcPr>
          <w:p>
            <w:r/>
            <w:r>
              <w:rPr>
                <w:sz w:val="18"/>
              </w:rPr>
              <w:t>Finance, Legal, Marketing, Engineering, Brand Assets, Onboarding &amp; Learning</w:t>
            </w:r>
          </w:p>
        </w:tc>
        <w:tc>
          <w:tcPr>
            <w:tcW w:type="dxa" w:w="1176"/>
            <w:shd w:val="clear" w:color="auto" w:fill="EEF3F6"/>
          </w:tcPr>
          <w:p>
            <w:r/>
            <w:r>
              <w:rPr>
                <w:sz w:val="18"/>
              </w:rPr>
              <w:t>~ 140</w:t>
            </w:r>
          </w:p>
        </w:tc>
        <w:tc>
          <w:tcPr>
            <w:tcW w:type="dxa" w:w="1176"/>
            <w:shd w:val="clear" w:color="auto" w:fill="EEF3F6"/>
          </w:tcPr>
          <w:p>
            <w:r/>
            <w:r>
              <w:rPr>
                <w:sz w:val="18"/>
              </w:rPr>
              <w:t>2026-11-09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Preparation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8"/>
              </w:rPr>
              <w:t>Wave 2</w:t>
            </w:r>
          </w:p>
        </w:tc>
        <w:tc>
          <w:tcPr>
            <w:tcW w:type="dxa" w:w="3529"/>
          </w:tcPr>
          <w:p>
            <w:r/>
            <w:r>
              <w:rPr>
                <w:sz w:val="18"/>
              </w:rPr>
              <w:t>Harrow Bay, Millbrook, Kestrel Ridge, Fenwick, Hydrogen, Procurement, Grid &amp; Permits, HSE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~ 260 + 60 guests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2027-01-18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Planning; Harrow Bay after Legal sign-off (litigation hold)</w:t>
            </w:r>
          </w:p>
        </w:tc>
      </w:tr>
      <w:tr>
        <w:tc>
          <w:tcPr>
            <w:tcW w:type="dxa" w:w="1176"/>
            <w:shd w:val="clear" w:color="auto" w:fill="EEF3F6"/>
          </w:tcPr>
          <w:p>
            <w:r/>
            <w:r>
              <w:rPr>
                <w:sz w:val="18"/>
              </w:rPr>
              <w:t>Wave 3</w:t>
            </w:r>
          </w:p>
        </w:tc>
        <w:tc>
          <w:tcPr>
            <w:tcW w:type="dxa" w:w="3529"/>
            <w:shd w:val="clear" w:color="auto" w:fill="EEF3F6"/>
          </w:tcPr>
          <w:p>
            <w:r/>
            <w:r>
              <w:rPr>
                <w:sz w:val="18"/>
              </w:rPr>
              <w:t>Executive Board, Investor Relations, Pipeline, archive data</w:t>
            </w:r>
          </w:p>
        </w:tc>
        <w:tc>
          <w:tcPr>
            <w:tcW w:type="dxa" w:w="1176"/>
            <w:shd w:val="clear" w:color="auto" w:fill="EEF3F6"/>
          </w:tcPr>
          <w:p>
            <w:r/>
            <w:r>
              <w:rPr>
                <w:sz w:val="18"/>
              </w:rPr>
              <w:t>~ 30</w:t>
            </w:r>
          </w:p>
        </w:tc>
        <w:tc>
          <w:tcPr>
            <w:tcW w:type="dxa" w:w="1176"/>
            <w:shd w:val="clear" w:color="auto" w:fill="EEF3F6"/>
          </w:tcPr>
          <w:p>
            <w:r/>
            <w:r>
              <w:rPr>
                <w:sz w:val="18"/>
              </w:rPr>
              <w:t>2027-03-01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Planning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8"/>
              </w:rPr>
              <w:t>Decommissioning</w:t>
            </w:r>
          </w:p>
        </w:tc>
        <w:tc>
          <w:tcPr>
            <w:tcW w:type="dxa" w:w="3529"/>
          </w:tcPr>
          <w:p>
            <w:r/>
            <w:r>
              <w:rPr>
                <w:sz w:val="18"/>
              </w:rPr>
              <w:t>File servers FS01–FS04, legacy SaaS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2027-03-31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–</w:t>
            </w:r>
          </w:p>
        </w:tc>
      </w:tr>
    </w:tbl>
    <w:p/>
    <w:p>
      <w:pPr>
        <w:pStyle w:val="Heading1"/>
      </w:pPr>
      <w:r>
        <w:t>5. Approach</w:t>
      </w:r>
    </w:p>
    <w:p>
      <w:pPr>
        <w:pStyle w:val="ListBullet"/>
      </w:pPr>
      <w:r>
        <w:rPr>
          <w:b/>
        </w:rPr>
        <w:t>Clean-up before move:</w:t>
      </w:r>
      <w:r>
        <w:t xml:space="preserve"> space managers decide what moves; files untouched for &gt; 5 years go to the archive space (read-only).</w:t>
      </w:r>
    </w:p>
    <w:p>
      <w:pPr>
        <w:pStyle w:val="ListBullet"/>
      </w:pPr>
      <w:r>
        <w:rPr>
          <w:b/>
        </w:rPr>
        <w:t>Keep history where it matters:</w:t>
      </w:r>
      <w:r>
        <w:t xml:space="preserve"> version history is migrated for controlled documents and all files under legal hold.</w:t>
      </w:r>
    </w:p>
    <w:p>
      <w:pPr>
        <w:pStyle w:val="ListBullet"/>
      </w:pPr>
      <w:r>
        <w:rPr>
          <w:b/>
        </w:rPr>
        <w:t>Permissions by space, not by folder:</w:t>
      </w:r>
      <w:r>
        <w:t xml:space="preserve"> we flatten the old folder ACLs (&gt; 4,000 unique permissions) into space roles.</w:t>
      </w:r>
    </w:p>
    <w:p>
      <w:pPr>
        <w:pStyle w:val="ListBullet"/>
      </w:pPr>
      <w:r>
        <w:rPr>
          <w:b/>
        </w:rPr>
        <w:t>Training:</w:t>
      </w:r>
      <w:r>
        <w:t xml:space="preserve"> 30-minute sessions per department, Lunch &amp; Learn on 5 November 2026, quick guide in the Company Handbook.</w:t>
      </w:r>
    </w:p>
    <w:p>
      <w:pPr>
        <w:pStyle w:val="ListBullet"/>
      </w:pPr>
      <w:r>
        <w:rPr>
          <w:b/>
        </w:rPr>
        <w:t>Freeze:</w:t>
      </w:r>
      <w:r>
        <w:t xml:space="preserve"> legacy shares become read-only one week after each wave.</w:t>
      </w:r>
    </w:p>
    <w:p>
      <w:pPr>
        <w:pStyle w:val="Heading1"/>
      </w:pPr>
      <w:r>
        <w:t>6.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Users keep working on old shares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Read-only switch after each wave; redirects in mapped drives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Broken links in Excel models (Finance)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Link scan before wave 1; Finance champions fix models in test space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Partner acceptance of new sharing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Early test with Halden (federated share, CHG-2026-140) and Marlow Ecology (guest accounts)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Legal hold on Harrow Bay data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Migrate with full version history; hash lists verified by Legal before cut-over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Works council concerns about logging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BV-2025-03 Annex 1 updated; activity logs only for security incidents</w:t>
            </w:r>
          </w:p>
        </w:tc>
      </w:tr>
    </w:tbl>
    <w:p/>
    <w:p>
      <w:pPr>
        <w:pStyle w:val="Heading1"/>
      </w:pPr>
      <w:r>
        <w:t>7. Budget and governance</w:t>
      </w:r>
    </w:p>
    <w:p>
      <w:r>
        <w:t>One-off: EUR 64,000 (Northlight migration services, 40 consulting days, training). Running: EUR 96,000 enterprise support subscription (WE-CON-2026-029, in negotiation) + EUR 52,000 hosting (CR-09) per year. Steering: ISO 27001 steering committee; project lead Katarzyna Nowak; technical lead Jan Kowalski; DPIA-2026-03 by Legal; works council informed 3 August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5BA65B"/>
            </w:tcBorders>
          </w:tcPr>
          <w:p>
            <w:r/>
            <w:r>
              <w:rPr>
                <w:sz w:val="19"/>
              </w:rPr>
              <w:t>Status 2 October 2026: pilot completed, wave 1 on track for 9 November. Decision on the enterprise subscription requested at the September steering committee.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File Services Migration to OpenCloud  ·  IT-PRJ-2026-03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 Services Migration to OpenCloud</dc:title>
  <dc:subject>Project plan – sovereign file sync &amp; share for all spaces</dc:subject>
  <dc:creator>Katarzyna Nowak</dc:creator>
  <cp:keywords>approved</cp:keywords>
  <dc:description>generated by python-docx</dc:description>
  <cp:lastModifiedBy>Katarzyna Nowak</cp:lastModifiedBy>
  <cp:revision>1</cp:revision>
  <dcterms:created xsi:type="dcterms:W3CDTF">2026-05-11T10:00:00Z</dcterms:created>
  <dcterms:modified xsi:type="dcterms:W3CDTF">2026-10-02T10:00:00Z</dcterms:modified>
  <cp:category/>
</cp:coreProperties>
</file>