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Lender ESG Requirements – Harrow Bay</w:t>
      </w:r>
    </w:p>
    <w:p>
      <w:r>
        <w:rPr>
          <w:color w:val="1FA2A6"/>
          <w:sz w:val="25"/>
        </w:rPr>
        <w:t>Summary of the Environmental and Social Action Plan (ESAP)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Jonas Richter  ·  03 March 2026</w:t>
      </w:r>
    </w:p>
    <w:p>
      <w:r>
        <w:t>The Harrow Bay lenders apply the Equator Principles. The Environmental and Social Action Plan agreed at financial close sets out the following obligations. Reporting is semi-annual to Hanseatic Infrastructure Bank.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23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Requirement</w:t>
            </w:r>
          </w:p>
        </w:tc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569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Deadline</w:t>
            </w:r>
          </w:p>
        </w:tc>
        <w:tc>
          <w:tcPr>
            <w:tcW w:type="dxa" w:w="104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Marine mammal mitigation plan incl. harbour porpoise monitoring during piling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Hannah Weber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Before first piling</w:t>
            </w:r>
          </w:p>
        </w:tc>
        <w:tc>
          <w:tcPr>
            <w:tcW w:type="dxa" w:w="104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523"/>
            <w:shd w:val="clear" w:color="auto" w:fill="EEF3F6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Seabird collision monitoring programme (3 years post-COD)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Hannah Weber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COD</w:t>
            </w:r>
          </w:p>
        </w:tc>
        <w:tc>
          <w:tcPr>
            <w:tcW w:type="dxa" w:w="1046"/>
            <w:shd w:val="clear" w:color="auto" w:fill="EEF3F6"/>
          </w:tcPr>
          <w:p>
            <w:r/>
            <w:r>
              <w:rPr>
                <w:sz w:val="18"/>
              </w:rPr>
              <w:t>Planned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Contractor HSE management plan aligned with ISO 45001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Hannah Weber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Construction start</w:t>
            </w:r>
          </w:p>
        </w:tc>
        <w:tc>
          <w:tcPr>
            <w:tcW w:type="dxa" w:w="104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523"/>
            <w:shd w:val="clear" w:color="auto" w:fill="EEF3F6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Grievance mechanism for fishermen and the Harrow Bay community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Tom Berger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Construction start</w:t>
            </w:r>
          </w:p>
        </w:tc>
        <w:tc>
          <w:tcPr>
            <w:tcW w:type="dxa" w:w="1046"/>
            <w:shd w:val="clear" w:color="auto" w:fill="EEF3F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523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Supply chain human-rights screening for turbine and cable suppliers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Elena Márquez</w:t>
            </w:r>
          </w:p>
        </w:tc>
        <w:tc>
          <w:tcPr>
            <w:tcW w:type="dxa" w:w="1569"/>
          </w:tcPr>
          <w:p>
            <w:r/>
            <w:r>
              <w:rPr>
                <w:sz w:val="18"/>
              </w:rPr>
              <w:t>2026-09-30</w:t>
            </w:r>
          </w:p>
        </w:tc>
        <w:tc>
          <w:tcPr>
            <w:tcW w:type="dxa" w:w="1046"/>
          </w:tcPr>
          <w:p>
            <w:r/>
            <w:r>
              <w:rPr>
                <w:sz w:val="18"/>
              </w:rPr>
              <w:t>Done</w:t>
            </w:r>
          </w:p>
        </w:tc>
      </w:tr>
      <w:tr>
        <w:tc>
          <w:tcPr>
            <w:tcW w:type="dxa" w:w="523"/>
            <w:shd w:val="clear" w:color="auto" w:fill="EEF3F6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Semi-annual E&amp;S report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Hannah Weber</w:t>
            </w:r>
          </w:p>
        </w:tc>
        <w:tc>
          <w:tcPr>
            <w:tcW w:type="dxa" w:w="1569"/>
            <w:shd w:val="clear" w:color="auto" w:fill="EEF3F6"/>
          </w:tcPr>
          <w:p>
            <w:r/>
            <w:r>
              <w:rPr>
                <w:sz w:val="18"/>
              </w:rPr>
              <w:t>45 days after period end</w:t>
            </w:r>
          </w:p>
        </w:tc>
        <w:tc>
          <w:tcPr>
            <w:tcW w:type="dxa" w:w="1046"/>
            <w:shd w:val="clear" w:color="auto" w:fill="EEF3F6"/>
          </w:tcPr>
          <w:p>
            <w:r/>
            <w:r>
              <w:rPr>
                <w:sz w:val="18"/>
              </w:rPr>
              <w:t>On track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Lender ESG Requirements – Harrow Bay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Lender ESG Requirements – Harrow Bay</dc:title>
  <dc:subject>Summary of the Environmental and Social Action Plan (ESAP)</dc:subject>
  <dc:creator>Jonas Richter</dc:creator>
  <cp:keywords>approved</cp:keywords>
  <dc:description>generated by python-docx</dc:description>
  <cp:lastModifiedBy>Jonas Richter</cp:lastModifiedBy>
  <cp:revision>1</cp:revision>
  <dcterms:created xsi:type="dcterms:W3CDTF">2026-02-20T10:00:00Z</dcterms:created>
  <dcterms:modified xsi:type="dcterms:W3CDTF">2026-03-03T10:00:00Z</dcterms:modified>
  <cp:category/>
</cp:coreProperties>
</file>