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Lender Quarterly Report – Q1 2026</w:t>
      </w:r>
    </w:p>
    <w:p>
      <w:r>
        <w:rPr>
          <w:color w:val="1FA2A6"/>
          <w:sz w:val="25"/>
        </w:rPr>
        <w:t>Weyland group and 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15 May 2026  ·  IR-LQR-Q1-2026</w:t>
      </w:r>
    </w:p>
    <w:p>
      <w:pPr>
        <w:pStyle w:val="Heading1"/>
      </w:pPr>
      <w:r>
        <w:t>1. Group performance</w:t>
      </w:r>
    </w:p>
    <w:p>
      <w:r>
        <w:t>Revenue for Q1 2026 was EUR 95.0 m and EBITDA EUR 50.9 m. Below budget due to the T-07 outage at Kestrel Ridge (KR-INC-2026-003) and low wind in January.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Q1 2026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Prior year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95.0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97.3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91.7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50.9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53.8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46.0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EBITDA margin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53.6 %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55.3 %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50.2 %</w:t>
            </w:r>
          </w:p>
        </w:tc>
      </w:tr>
    </w:tbl>
    <w:p/>
    <w:p>
      <w:pPr>
        <w:pStyle w:val="Heading1"/>
      </w:pPr>
      <w:r>
        <w:t>2. Covenants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37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Covenant</w:t>
            </w:r>
          </w:p>
        </w:tc>
        <w:tc>
          <w:tcPr>
            <w:tcW w:type="dxa" w:w="201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01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5378"/>
          </w:tcPr>
          <w:p>
            <w:r/>
            <w:r>
              <w:rPr>
                <w:sz w:val="18"/>
              </w:rPr>
              <w:t>Net debt / EBITDA (corporate, excl. Harrow Bay project debt)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≤ 4.5x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3.7x</w:t>
            </w:r>
          </w:p>
        </w:tc>
      </w:tr>
      <w:tr>
        <w:tc>
          <w:tcPr>
            <w:tcW w:type="dxa" w:w="5378"/>
            <w:shd w:val="clear" w:color="auto" w:fill="EEF3F6"/>
          </w:tcPr>
          <w:p>
            <w:r/>
            <w:r>
              <w:rPr>
                <w:sz w:val="18"/>
              </w:rPr>
              <w:t>Equity ratio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≥ 25 %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34.6 %</w:t>
            </w:r>
          </w:p>
        </w:tc>
      </w:tr>
      <w:tr>
        <w:tc>
          <w:tcPr>
            <w:tcW w:type="dxa" w:w="5378"/>
          </w:tcPr>
          <w:p>
            <w:r/>
            <w:r>
              <w:rPr>
                <w:sz w:val="18"/>
              </w:rPr>
              <w:t>Kestrel Ridge historic DSCR (12 months)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≥ 1.10x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1.31x</w:t>
            </w:r>
          </w:p>
        </w:tc>
      </w:tr>
    </w:tbl>
    <w:p/>
    <w:p>
      <w:pPr>
        <w:pStyle w:val="Heading1"/>
      </w:pPr>
      <w:r>
        <w:t>3. Harrow Bay Offshore Wind</w:t>
      </w:r>
    </w:p>
    <w:p>
      <w:pPr>
        <w:pStyle w:val="ListBullet"/>
      </w:pPr>
      <w:r>
        <w:t>Financial close on 12 February 2026; equity of EUR 520 m fully contributed</w:t>
      </w:r>
    </w:p>
    <w:p>
      <w:pPr>
        <w:pStyle w:val="ListBullet"/>
      </w:pPr>
      <w:r>
        <w:t>MV Sea Atlas mobilised; first monopile installed on 7 April 2026</w:t>
      </w:r>
    </w:p>
    <w:p>
      <w:pPr>
        <w:pStyle w:val="ListBullet"/>
      </w:pPr>
      <w:r>
        <w:t>Cumulative project cost at 31 March: EUR 561 m</w:t>
      </w:r>
    </w:p>
    <w:p>
      <w:pPr>
        <w:pStyle w:val="Heading1"/>
      </w:pPr>
      <w:r>
        <w:t>4. Revenue contracting</w:t>
      </w:r>
    </w:p>
    <w:p>
      <w:r>
        <w:t>Long-term contracted revenue share of the operating portfolio: 64 %.</w:t>
      </w:r>
    </w:p>
    <w:p>
      <w:pPr>
        <w:pStyle w:val="Heading1"/>
      </w:pPr>
      <w:r>
        <w:t>5. Material events</w:t>
      </w:r>
    </w:p>
    <w:p>
      <w:r>
        <w:t>Kestrel Ridge T-07 gearbox failure (KR-INC-2026-003), see section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Prepared by Fiona Campbell (Investor Relations) and Daniel Park (Treasury). Contact: ir@weyland-energy.example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Lender Quarterly Report – Q1 2026  ·  IR-LQR-Q1-2026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Lender Quarterly Report – Q1 2026</dc:title>
  <dc:subject>Weyland group and Harrow Bay Offshore Wind</dc:subject>
  <dc:creator>Jonas Richter</dc:creator>
  <cp:keywords>in review</cp:keywords>
  <dc:description>generated by python-docx</dc:description>
  <cp:lastModifiedBy>Jonas Richter</cp:lastModifiedBy>
  <cp:revision>1</cp:revision>
  <dcterms:created xsi:type="dcterms:W3CDTF">2026-05-15T10:00:00Z</dcterms:created>
  <dcterms:modified xsi:type="dcterms:W3CDTF">2026-05-15T10:00:00Z</dcterms:modified>
  <cp:category/>
</cp:coreProperties>
</file>