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Letter to our Shareholders – FY 2025</w:t>
      </w:r>
    </w:p>
    <w:p>
      <w:r>
        <w:rPr>
          <w:color w:val="1FA2A6"/>
          <w:sz w:val="25"/>
        </w:rPr>
        <w:t>Weyland Energy GmbH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Jonas Richter  ·  27 March 2026</w:t>
      </w:r>
    </w:p>
    <w:p>
      <w:r>
        <w:t>Dear Shareholders,</w:t>
      </w:r>
    </w:p>
    <w:p>
      <w:r>
        <w:t>2025 was the best year in Weyland's history: revenue grew by 13 % to EUR 312 m, EBITDA by 17 % to EUR 148 m. And on 12 February 2026 we took the final investment decision for Harrow Bay – the largest investment we have ever made.</w:t>
      </w:r>
    </w:p>
    <w:p>
      <w:pPr>
        <w:pStyle w:val="Heading1"/>
      </w:pPr>
      <w:r>
        <w:t>Key figures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EUR m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Revenue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312.0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276.0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+13.0 %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EBITDA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148.0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126.0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+17.5 %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Net income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25.0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+78.6 %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Operating cash flow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131.0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113.0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+15.9 %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Net debt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1,104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1,019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+8.3 %</w:t>
            </w:r>
          </w:p>
        </w:tc>
      </w:tr>
    </w:tbl>
    <w:p/>
    <w:p>
      <w:pPr>
        <w:pStyle w:val="Heading1"/>
      </w:pPr>
      <w:r>
        <w:t>Highlights</w:t>
      </w:r>
    </w:p>
    <w:p>
      <w:pPr>
        <w:pStyle w:val="ListBullet"/>
      </w:pPr>
      <w:r>
        <w:t>Harrow Bay FID and financial close on 12 February 2026 (EUR 1.62 bn capex, EUR 1.1 bn senior debt)</w:t>
      </w:r>
    </w:p>
    <w:p>
      <w:pPr>
        <w:pStyle w:val="ListBullet"/>
      </w:pPr>
      <w:r>
        <w:t>Strategy 2030 "Clean power, built to last" approved: 2.5 GW operating capacity and EUR 600 m revenue by 2030</w:t>
      </w:r>
    </w:p>
    <w:p>
      <w:pPr>
        <w:pStyle w:val="ListBullet"/>
      </w:pPr>
      <w:r>
        <w:t>Annual Report 2025 published on 26 March 2026</w:t>
      </w:r>
    </w:p>
    <w:p>
      <w:pPr>
        <w:pStyle w:val="ListBullet"/>
      </w:pPr>
      <w:r>
        <w:t>1.2 Mt of CO₂ avoided in 2025</w:t>
      </w:r>
    </w:p>
    <w:p>
      <w:pPr>
        <w:pStyle w:val="Heading1"/>
      </w:pPr>
      <w:r>
        <w:t>Outlook</w:t>
      </w:r>
    </w:p>
    <w:p>
      <w:r>
        <w:t>For 2026 we expect revenue of EUR 330–338 m and EBITDA of EUR 150–158 m.</w:t>
      </w:r>
    </w:p>
    <w:p>
      <w:r>
        <w:t>With kind regards,</w:t>
      </w:r>
    </w:p>
    <w:p>
      <w:r>
        <w:t>Dr. Amara Okafor, CEO · Jonas Richter, CFO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Letter to our Shareholders – FY 2025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to our Shareholders – FY 2025</dc:title>
  <dc:subject>Weyland Energy GmbH</dc:subject>
  <dc:creator>Jonas Richter</dc:creator>
  <cp:keywords/>
  <dc:description>generated by python-docx</dc:description>
  <cp:lastModifiedBy>Jonas Richter</cp:lastModifiedBy>
  <cp:revision>1</cp:revision>
  <dcterms:created xsi:type="dcterms:W3CDTF">2026-03-27T10:00:00Z</dcterms:created>
  <dcterms:modified xsi:type="dcterms:W3CDTF">2026-03-27T10:00:00Z</dcterms:modified>
  <cp:category/>
</cp:coreProperties>
</file>