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Corporate Power Purchase Agreement</w:t>
      </w:r>
    </w:p>
    <w:p>
      <w:r>
        <w:rPr>
          <w:color w:val="1FA2A6"/>
          <w:sz w:val="25"/>
        </w:rPr>
        <w:t>Draft for discussion – Weyland first draft</w:t>
      </w:r>
    </w:p>
    <w:p>
      <w:pPr>
        <w:pBdr>
          <w:bottom w:val="single" w:sz="12" w:space="6" w:color="1FA2A6"/>
        </w:pBdr>
      </w:pPr>
      <w:r>
        <w:rPr>
          <w:color w:val="4A5A68"/>
          <w:sz w:val="18"/>
        </w:rPr>
        <w:t>Priya Nair  ·  13 March 2026  ·  WE-PPA-2026-004</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1FA2A6"/>
            </w:tcBorders>
          </w:tcPr>
          <w:p>
            <w:r/>
            <w:r>
              <w:rPr>
                <w:sz w:val="19"/>
              </w:rPr>
              <w:t>Weyland draft of 13 March 2026. Square brackets indicate points still open.</w:t>
            </w:r>
          </w:p>
        </w:tc>
      </w:tr>
    </w:tbl>
    <w:p/>
    <w:p>
      <w:pPr>
        <w:pStyle w:val="Heading1"/>
      </w:pPr>
      <w:r>
        <w:t>Recitals</w:t>
      </w:r>
    </w:p>
    <w:p>
      <w:r>
        <w:t>(A) The Seller is developing and constructing the Harrow Bay Offshore Wind farm, a 480 MW offshore wind generating facility located 38 km off the coast of Harrow Bay in the UK North Sea, comprising 40 Halden HTS-12 wind turbine generators.</w:t>
      </w:r>
    </w:p>
    <w:p>
      <w:r>
        <w:t>(B) The Buyer operates electric arc furnaces for the production of low-carbon steel and wishes to procure renewable electricity and the associated guarantees of origin on a long-term basis.</w:t>
      </w:r>
    </w:p>
    <w:p>
      <w:pPr>
        <w:pStyle w:val="Heading1"/>
      </w:pPr>
      <w:r>
        <w:t>1. Definitions and interpretation</w:t>
      </w:r>
    </w:p>
    <w:p>
      <w:r>
        <w:rPr>
          <w:b/>
        </w:rPr>
        <w:t>Contract Share</w:t>
      </w:r>
      <w:r>
        <w:t xml:space="preserve"> means 31.25 per cent., being the proportion that 150 MW bears to the installed capacity of the Facility of 480 MW. </w:t>
      </w:r>
      <w:r>
        <w:rPr>
          <w:b/>
        </w:rPr>
        <w:t>Contract Quantity</w:t>
      </w:r>
      <w:r>
        <w:t xml:space="preserve"> means, for each Settlement Period, the Contract Share multiplied by the Metered Output (pay-as-produced).</w:t>
      </w:r>
    </w:p>
    <w:p>
      <w:pPr>
        <w:pStyle w:val="Heading1"/>
      </w:pPr>
      <w:r>
        <w:t>2. Term</w:t>
      </w:r>
    </w:p>
    <w:p>
      <w:r>
        <w:t>This Agreement enters into force on the Signing Date. The Delivery Period starts on the Commercial Operation Date and ends on the fifteenth (15th) anniversary thereof.</w:t>
      </w:r>
    </w:p>
    <w:p>
      <w:pPr>
        <w:pStyle w:val="Heading1"/>
      </w:pPr>
      <w:r>
        <w:t>3. Sale and purchase</w:t>
      </w:r>
    </w:p>
    <w:p>
      <w:r>
        <w:t>The Seller shall sell and deliver, and the Buyer shall purchase and accept, the Contract Quantity together with the corresponding Guarantees of Origin. Expected annual Contract Quantity is approximately 590 GWh (P50); no minimum volume is guaranteed.</w:t>
      </w:r>
    </w:p>
    <w:p>
      <w:pPr>
        <w:pStyle w:val="Heading1"/>
      </w:pPr>
      <w:r>
        <w:t>4. Contract Price</w:t>
      </w:r>
    </w:p>
    <w:p>
      <w:r>
        <w:t>The Contract Price is set out in Schedule 2 (Pricing). It is fixed for Contract Years 1 to 5 and indexed by 1.5 per cent. per annum from Contract Year 6.</w:t>
      </w:r>
    </w:p>
    <w:p>
      <w:pPr>
        <w:pStyle w:val="Heading1"/>
      </w:pPr>
      <w:r>
        <w:t>5. Negative prices</w:t>
      </w:r>
    </w:p>
    <w:p>
      <w:r>
        <w:t>Where the Day-Ahead Reference Price is negative for more than four (4) consecutive hours, no Contract Price is payable for the Contract Quantity in those hours.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Corporate Power Purchase Agreement  ·  WE-PPA-2026-004</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Power Purchase Agreement</dc:title>
  <dc:subject>Draft for discussion – Weyland first draft</dc:subject>
  <dc:creator>Priya Nair</dc:creator>
  <cp:keywords>draft, confidential</cp:keywords>
  <dc:description>generated by python-docx</dc:description>
  <cp:lastModifiedBy>Priya Nair</cp:lastModifiedBy>
  <cp:revision>1</cp:revision>
  <dcterms:created xsi:type="dcterms:W3CDTF">2026-03-04T10:00:00Z</dcterms:created>
  <dcterms:modified xsi:type="dcterms:W3CDTF">2026-03-13T10:00:00Z</dcterms:modified>
  <cp:category/>
</cp:coreProperties>
</file>