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Term Sheet – Corporate Power Purchase Agreement</w:t>
      </w:r>
    </w:p>
    <w:p>
      <w:r>
        <w:rPr>
          <w:color w:val="1FA2A6"/>
          <w:sz w:val="25"/>
        </w:rPr>
        <w:t>Harrow Bay Offshore Wind × Arcturus Steel AG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Priya Nair  ·  27 February 2026  ·  WE-PPA-2026-004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1FA2A6"/>
            </w:tcBorders>
          </w:tcPr>
          <w:p>
            <w:r/>
            <w:r>
              <w:rPr>
                <w:sz w:val="19"/>
              </w:rPr>
              <w:t>Non-binding indicative term sheet. Subject to contract, board approvals and lender consent.</w:t>
            </w:r>
          </w:p>
        </w:tc>
      </w:tr>
    </w:tbl>
    <w:p/>
    <w:p>
      <w:pPr>
        <w:pStyle w:val="Heading1"/>
      </w:pPr>
      <w:r>
        <w:t>1. Parties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Entity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Seller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Harrow Bay Offshore Wind Ltd (100 % subsidiary of Weyland Energy GmbH)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Buyer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Arcturus Steel AG, Duisburg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Guarantor (Seller)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Weyland Energy GmbH, Hamburg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Guarantor (Buyer)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Arcturus Holding SE (parent company guarantee)</w:t>
            </w:r>
          </w:p>
        </w:tc>
      </w:tr>
    </w:tbl>
    <w:p/>
    <w:p>
      <w:pPr>
        <w:pStyle w:val="Heading1"/>
      </w:pPr>
      <w:r>
        <w:t>2. Commercial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Proposed position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Asset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Harrow Bay Offshore Wind (480 MW, UK North Sea)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Contracted capacity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150 MW share of the wind farm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Volume structure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Pay-as-produced: buyer takes 31.25 % of metered output in every settlement period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Expected volume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~ 590 GWh per year (P50)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Term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15 years from commercial operation date (COD), planned 30 June 2028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Price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Fixed price per MWh, 1.5 % annual indexation from year 6 (commercially sensitive – see pricing annex)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Guarantees of origin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Transferred monthly with the volume, at no extra charge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Negative prices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No payment obligation for volumes during negative price periods beyond 6 consecutive hours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Delivery point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Virtual hub; balancing responsibility remains with Seller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Long-stop date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COD no later than 31 December 2029; termination right afterwards</w:t>
            </w:r>
          </w:p>
        </w:tc>
      </w:tr>
    </w:tbl>
    <w:p/>
    <w:p>
      <w:pPr>
        <w:pStyle w:val="Heading1"/>
      </w:pPr>
      <w:r>
        <w:t>3. Credit support</w:t>
      </w:r>
    </w:p>
    <w:p>
      <w:r>
        <w:t>Buyer provides a parent company guarantee from Arcturus Holding SE capped at EUR 45 m, stepping down after year 5. If Arcturus Holding falls below investment grade, a bank guarantee of EUR 30 m is required within 30 business days. Seller provides a guarantee from Weyland Energy GmbH of EUR 25 m until COD.</w:t>
      </w:r>
    </w:p>
    <w:p>
      <w:pPr>
        <w:pStyle w:val="Heading1"/>
      </w:pPr>
      <w:r>
        <w:t>4. Conditions precedent</w:t>
      </w:r>
    </w:p>
    <w:p>
      <w:pPr>
        <w:pStyle w:val="ListBullet"/>
      </w:pPr>
      <w:r>
        <w:t>Approval by the Weyland Executive Board and Arcturus Supervisory Board</w:t>
      </w:r>
    </w:p>
    <w:p>
      <w:pPr>
        <w:pStyle w:val="ListBullet"/>
      </w:pPr>
      <w:r>
        <w:t>Lender consent under the Harrow Bay Senior Facilities Agreement (WE-CON-2026-003)</w:t>
      </w:r>
    </w:p>
    <w:p>
      <w:pPr>
        <w:pStyle w:val="ListBullet"/>
      </w:pPr>
      <w:r>
        <w:t>Satisfactory KYC and sanctions screening of both parties</w:t>
      </w:r>
    </w:p>
    <w:p>
      <w:pPr>
        <w:pStyle w:val="Heading1"/>
      </w:pPr>
      <w:r>
        <w:t>5. Next steps</w:t>
      </w:r>
    </w:p>
    <w:p>
      <w:r>
        <w:t>Term sheet is non-binding except for confidentiality, exclusivity (until 31 May 2026) and governing law (English law, LCIA arbitration). Drafting of the long-form agreement on the basis of the EFET-style corporate PPA template, with Weyland holding the pen.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Term Sheet – Corporate Power Purchase Agreement  ·  WE-PPA-2026-004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STRICTLY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 Sheet – Corporate Power Purchase Agreement</dc:title>
  <dc:subject>Harrow Bay Offshore Wind × Arcturus Steel AG</dc:subject>
  <dc:creator>Priya Nair</dc:creator>
  <cp:keywords>confidential, draft</cp:keywords>
  <dc:description>generated by python-docx</dc:description>
  <cp:lastModifiedBy>Priya Nair</cp:lastModifiedBy>
  <cp:revision>1</cp:revision>
  <dcterms:created xsi:type="dcterms:W3CDTF">2026-01-19T10:00:00Z</dcterms:created>
  <dcterms:modified xsi:type="dcterms:W3CDTF">2026-02-27T10:00:00Z</dcterms:modified>
  <cp:category/>
</cp:coreProperties>
</file>