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Key Clauses – Time Charter MV Sea Atlas</w:t>
      </w:r>
    </w:p>
    <w:p>
      <w:r>
        <w:rPr>
          <w:color w:val="1FA2A6"/>
          <w:sz w:val="25"/>
        </w:rPr>
        <w:t>WE-CON-2025-040 with Atlas Marine Contractors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Priya Nair  ·  10 June 2026  ·  WE-CON-2025-040</w:t>
      </w:r>
    </w:p>
    <w:p>
      <w:pPr>
        <w:pStyle w:val="Heading1"/>
      </w:pPr>
      <w:r>
        <w:t>Charter period</w:t>
      </w:r>
    </w:p>
    <w:p>
      <w:r>
        <w:t>Firm period 15 March 2026 – 31 October 2027 with two 30-day options. Mobilisation from Port of Eastholm.</w:t>
      </w:r>
    </w:p>
    <w:p>
      <w:pPr>
        <w:pStyle w:val="Heading1"/>
      </w:pPr>
      <w:r>
        <w:t>Weather downtime</w:t>
      </w:r>
    </w:p>
    <w:p>
      <w:r>
        <w:t>Day rate reduced to 80 % for weather standby; no hire for downtime caused by vessel breakdown beyond 24 hours per month.</w:t>
      </w:r>
    </w:p>
    <w:p>
      <w:pPr>
        <w:pStyle w:val="Heading1"/>
      </w:pPr>
      <w:r>
        <w:t>HSE</w:t>
      </w:r>
    </w:p>
    <w:p>
      <w:r>
        <w:t>Atlas Marine to comply with the Weyland HSE Golden Rules and bridging document. Dropped object near miss HSE-INC-2026-018 (3 June 2026) was reported within the contractual 24 hours; no contractual consequence.</w:t>
      </w:r>
    </w:p>
    <w:p>
      <w:pPr>
        <w:pStyle w:val="Heading1"/>
      </w:pPr>
      <w:r>
        <w:t>Knock-for-knock</w:t>
      </w:r>
    </w:p>
    <w:p>
      <w:r>
        <w:t>Mutual indemnities for each party's people and property regardless of fault; third-party claims follow fault.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Key Clauses – Time Charter MV Sea Atlas  ·  WE-CON-2025-040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Clauses – Time Charter MV Sea Atlas</dc:title>
  <dc:subject>WE-CON-2025-040 with Atlas Marine Contractors</dc:subject>
  <dc:creator>Priya Nair</dc:creator>
  <cp:keywords/>
  <dc:description>generated by python-docx</dc:description>
  <cp:lastModifiedBy>Priya Nair</cp:lastModifiedBy>
  <cp:revision>1</cp:revision>
  <dcterms:created xsi:type="dcterms:W3CDTF">2025-12-05T10:00:00Z</dcterms:created>
  <dcterms:modified xsi:type="dcterms:W3CDTF">2026-06-10T10:00:00Z</dcterms:modified>
  <cp:category/>
</cp:coreProperties>
</file>