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Campaign brief: Powering the North</w:t>
      </w:r>
    </w:p>
    <w:p>
      <w:r>
        <w:rPr>
          <w:color w:val="1FA2A6"/>
          <w:sz w:val="25"/>
        </w:rPr>
        <w:t>Employer and corporate brand campaign · June–September 2026</w:t>
      </w:r>
    </w:p>
    <w:p>
      <w:pPr>
        <w:pBdr>
          <w:bottom w:val="single" w:sz="12" w:space="6" w:color="1FA2A6"/>
        </w:pBdr>
      </w:pPr>
      <w:r>
        <w:rPr>
          <w:color w:val="4A5A68"/>
          <w:sz w:val="18"/>
        </w:rPr>
        <w:t>Noah Fischer  ·  28 April 2026  ·  WE-MC-BRF-2026-02</w:t>
      </w:r>
    </w:p>
    <w:tbl>
      <w:tblPr>
        <w:tblW w:type="auto" w:w="0"/>
        <w:tblLook w:firstColumn="1" w:firstRow="1" w:lastColumn="0" w:lastRow="0" w:noHBand="0" w:noVBand="1" w:val="04A0"/>
      </w:tblPr>
      <w:tblGrid>
        <w:gridCol w:w="9412"/>
      </w:tblGrid>
      <w:tr>
        <w:tc>
          <w:tcPr>
            <w:tcW w:type="dxa" w:w="9412"/>
            <w:shd w:val="clear" w:color="auto" w:fill="EEF3F6"/>
            <w:tcBorders>
              <w:left w:val="single" w:sz="36" w:color="5BA65B"/>
            </w:tcBorders>
          </w:tcPr>
          <w:p>
            <w:r/>
            <w:r>
              <w:rPr>
                <w:sz w:val="19"/>
              </w:rPr>
              <w:t>Approved by Dr. Amara Okafor and Jonas Richter on 28 April 2026. Budget EUR 240,000. Agency: Fjord &amp; Harbour Creative, Hamburg.</w:t>
            </w:r>
          </w:p>
        </w:tc>
      </w:tr>
    </w:tbl>
    <w:p/>
    <w:p>
      <w:pPr>
        <w:pStyle w:val="Heading1"/>
      </w:pPr>
      <w:r>
        <w:t>1. Why this campaign, why now</w:t>
      </w:r>
    </w:p>
    <w:p>
      <w:r>
        <w:t>2026 is the year Weyland becomes a builder: Harrow Bay moves into offshore construction, Kestrel Ridge is proving itself in operation and Millbrook is going through planning. At the same time we need to hire around 80 people this year – engineers, technicians, project managers – in a market where every developer is hiring. Awareness of Weyland outside the industry is low: in our February survey only 9 % of engineers in Hamburg and 6 % in Edinburgh knew the name.</w:t>
      </w:r>
    </w:p>
    <w:p>
      <w:r>
        <w:rPr>
          <w:b/>
        </w:rPr>
        <w:t>Powering the North</w:t>
      </w:r>
      <w:r>
        <w:t xml:space="preserve"> tells one story to two audiences: to future colleagues (</w:t>
      </w:r>
      <w:r>
        <w:rPr>
          <w:i/>
        </w:rPr>
        <w:t>come and build this with us</w:t>
      </w:r>
      <w:r>
        <w:t>) and to partners and lenders (</w:t>
      </w:r>
      <w:r>
        <w:rPr>
          <w:i/>
        </w:rPr>
        <w:t>this is a company that delivers</w:t>
      </w:r>
      <w:r>
        <w:t>).</w:t>
      </w:r>
    </w:p>
    <w:p>
      <w:pPr>
        <w:pStyle w:val="Heading1"/>
      </w:pPr>
      <w:r>
        <w:t>2. Objectives and KPIs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422"/>
            <w:shd w:val="clear" w:color="auto" w:fill="0B3C5D"/>
          </w:tcPr>
          <w:p>
            <w:r/>
            <w:r>
              <w:rPr>
                <w:b/>
                <w:color w:val="FFFFFF"/>
                <w:sz w:val="18"/>
              </w:rPr>
              <w:t>Objective</w:t>
            </w:r>
          </w:p>
        </w:tc>
        <w:tc>
          <w:tcPr>
            <w:tcW w:type="dxa" w:w="2567"/>
            <w:shd w:val="clear" w:color="auto" w:fill="0B3C5D"/>
          </w:tcPr>
          <w:p>
            <w:r/>
            <w:r>
              <w:rPr>
                <w:b/>
                <w:color w:val="FFFFFF"/>
                <w:sz w:val="18"/>
              </w:rPr>
              <w:t>KPI</w:t>
            </w:r>
          </w:p>
        </w:tc>
        <w:tc>
          <w:tcPr>
            <w:tcW w:type="dxa" w:w="1711"/>
            <w:shd w:val="clear" w:color="auto" w:fill="0B3C5D"/>
          </w:tcPr>
          <w:p>
            <w:r/>
            <w:r>
              <w:rPr>
                <w:b/>
                <w:color w:val="FFFFFF"/>
                <w:sz w:val="18"/>
              </w:rPr>
              <w:t>Target (Jun–Sep)</w:t>
            </w:r>
          </w:p>
        </w:tc>
        <w:tc>
          <w:tcPr>
            <w:tcW w:type="dxa" w:w="1711"/>
            <w:shd w:val="clear" w:color="auto" w:fill="0B3C5D"/>
          </w:tcPr>
          <w:p>
            <w:r/>
            <w:r>
              <w:rPr>
                <w:b/>
                <w:color w:val="FFFFFF"/>
                <w:sz w:val="18"/>
              </w:rPr>
              <w:t>Baseline</w:t>
            </w:r>
          </w:p>
        </w:tc>
      </w:tr>
      <w:tr>
        <w:tc>
          <w:tcPr>
            <w:tcW w:type="dxa" w:w="3422"/>
          </w:tcPr>
          <w:p>
            <w:r/>
            <w:r>
              <w:rPr>
                <w:sz w:val="18"/>
              </w:rPr>
              <w:t>Awareness among engineers in Hamburg, Edinburgh, Copenhagen</w:t>
            </w:r>
          </w:p>
        </w:tc>
        <w:tc>
          <w:tcPr>
            <w:tcW w:type="dxa" w:w="2567"/>
          </w:tcPr>
          <w:p>
            <w:r/>
            <w:r>
              <w:rPr>
                <w:sz w:val="18"/>
              </w:rPr>
              <w:t>Aided awareness (survey)</w:t>
            </w:r>
          </w:p>
        </w:tc>
        <w:tc>
          <w:tcPr>
            <w:tcW w:type="dxa" w:w="1711"/>
          </w:tcPr>
          <w:p>
            <w:r/>
            <w:r>
              <w:rPr>
                <w:sz w:val="18"/>
              </w:rPr>
              <w:t>20 %</w:t>
            </w:r>
          </w:p>
        </w:tc>
        <w:tc>
          <w:tcPr>
            <w:tcW w:type="dxa" w:w="1711"/>
          </w:tcPr>
          <w:p>
            <w:r/>
            <w:r>
              <w:rPr>
                <w:sz w:val="18"/>
              </w:rPr>
              <w:t>9 % / 6 % / 4 %</w:t>
            </w:r>
          </w:p>
        </w:tc>
      </w:tr>
      <w:tr>
        <w:tc>
          <w:tcPr>
            <w:tcW w:type="dxa" w:w="3422"/>
            <w:shd w:val="clear" w:color="auto" w:fill="EEF3F6"/>
          </w:tcPr>
          <w:p>
            <w:r/>
            <w:r>
              <w:rPr>
                <w:sz w:val="18"/>
              </w:rPr>
              <w:t>Reach</w:t>
            </w:r>
          </w:p>
        </w:tc>
        <w:tc>
          <w:tcPr>
            <w:tcW w:type="dxa" w:w="2567"/>
            <w:shd w:val="clear" w:color="auto" w:fill="EEF3F6"/>
          </w:tcPr>
          <w:p>
            <w:r/>
            <w:r>
              <w:rPr>
                <w:sz w:val="18"/>
              </w:rPr>
              <w:t>Paid + organic impressions</w:t>
            </w:r>
          </w:p>
        </w:tc>
        <w:tc>
          <w:tcPr>
            <w:tcW w:type="dxa" w:w="1711"/>
            <w:shd w:val="clear" w:color="auto" w:fill="EEF3F6"/>
          </w:tcPr>
          <w:p>
            <w:r/>
            <w:r>
              <w:rPr>
                <w:sz w:val="18"/>
              </w:rPr>
              <w:t>4.5 million</w:t>
            </w:r>
          </w:p>
        </w:tc>
        <w:tc>
          <w:tcPr>
            <w:tcW w:type="dxa" w:w="1711"/>
            <w:shd w:val="clear" w:color="auto" w:fill="EEF3F6"/>
          </w:tcPr>
          <w:p>
            <w:r/>
            <w:r>
              <w:rPr>
                <w:sz w:val="18"/>
              </w:rPr>
              <w:t>–</w:t>
            </w:r>
          </w:p>
        </w:tc>
      </w:tr>
      <w:tr>
        <w:tc>
          <w:tcPr>
            <w:tcW w:type="dxa" w:w="3422"/>
          </w:tcPr>
          <w:p>
            <w:r/>
            <w:r>
              <w:rPr>
                <w:sz w:val="18"/>
              </w:rPr>
              <w:t>Recruiting</w:t>
            </w:r>
          </w:p>
        </w:tc>
        <w:tc>
          <w:tcPr>
            <w:tcW w:type="dxa" w:w="2567"/>
          </w:tcPr>
          <w:p>
            <w:r/>
            <w:r>
              <w:rPr>
                <w:sz w:val="18"/>
              </w:rPr>
              <w:t>Applications via careers page</w:t>
            </w:r>
          </w:p>
        </w:tc>
        <w:tc>
          <w:tcPr>
            <w:tcW w:type="dxa" w:w="1711"/>
          </w:tcPr>
          <w:p>
            <w:r/>
            <w:r>
              <w:rPr>
                <w:sz w:val="18"/>
              </w:rPr>
              <w:t>1,000</w:t>
            </w:r>
          </w:p>
        </w:tc>
        <w:tc>
          <w:tcPr>
            <w:tcW w:type="dxa" w:w="1711"/>
          </w:tcPr>
          <w:p>
            <w:r/>
            <w:r>
              <w:rPr>
                <w:sz w:val="18"/>
              </w:rPr>
              <w:t>690 (Jun–Sep 2025)</w:t>
            </w:r>
          </w:p>
        </w:tc>
      </w:tr>
      <w:tr>
        <w:tc>
          <w:tcPr>
            <w:tcW w:type="dxa" w:w="3422"/>
            <w:shd w:val="clear" w:color="auto" w:fill="EEF3F6"/>
          </w:tcPr>
          <w:p>
            <w:r/>
            <w:r>
              <w:rPr>
                <w:sz w:val="18"/>
              </w:rPr>
              <w:t>Engagement</w:t>
            </w:r>
          </w:p>
        </w:tc>
        <w:tc>
          <w:tcPr>
            <w:tcW w:type="dxa" w:w="2567"/>
            <w:shd w:val="clear" w:color="auto" w:fill="EEF3F6"/>
          </w:tcPr>
          <w:p>
            <w:r/>
            <w:r>
              <w:rPr>
                <w:sz w:val="18"/>
              </w:rPr>
              <w:t>LinkedIn engagement rate</w:t>
            </w:r>
          </w:p>
        </w:tc>
        <w:tc>
          <w:tcPr>
            <w:tcW w:type="dxa" w:w="1711"/>
            <w:shd w:val="clear" w:color="auto" w:fill="EEF3F6"/>
          </w:tcPr>
          <w:p>
            <w:r/>
            <w:r>
              <w:rPr>
                <w:sz w:val="18"/>
              </w:rPr>
              <w:t>≥ 4.0 %</w:t>
            </w:r>
          </w:p>
        </w:tc>
        <w:tc>
          <w:tcPr>
            <w:tcW w:type="dxa" w:w="1711"/>
            <w:shd w:val="clear" w:color="auto" w:fill="EEF3F6"/>
          </w:tcPr>
          <w:p>
            <w:r/>
            <w:r>
              <w:rPr>
                <w:sz w:val="18"/>
              </w:rPr>
              <w:t>2.6 %</w:t>
            </w:r>
          </w:p>
        </w:tc>
      </w:tr>
      <w:tr>
        <w:tc>
          <w:tcPr>
            <w:tcW w:type="dxa" w:w="3422"/>
          </w:tcPr>
          <w:p>
            <w:r/>
            <w:r>
              <w:rPr>
                <w:sz w:val="18"/>
              </w:rPr>
              <w:t>Reputation</w:t>
            </w:r>
          </w:p>
        </w:tc>
        <w:tc>
          <w:tcPr>
            <w:tcW w:type="dxa" w:w="2567"/>
          </w:tcPr>
          <w:p>
            <w:r/>
            <w:r>
              <w:rPr>
                <w:sz w:val="18"/>
              </w:rPr>
              <w:t>Share of voice in trade press vs. 5 peers</w:t>
            </w:r>
          </w:p>
        </w:tc>
        <w:tc>
          <w:tcPr>
            <w:tcW w:type="dxa" w:w="1711"/>
          </w:tcPr>
          <w:p>
            <w:r/>
            <w:r>
              <w:rPr>
                <w:sz w:val="18"/>
              </w:rPr>
              <w:t>≥ 18 %</w:t>
            </w:r>
          </w:p>
        </w:tc>
        <w:tc>
          <w:tcPr>
            <w:tcW w:type="dxa" w:w="1711"/>
          </w:tcPr>
          <w:p>
            <w:r/>
            <w:r>
              <w:rPr>
                <w:sz w:val="18"/>
              </w:rPr>
              <w:t>11 %</w:t>
            </w:r>
          </w:p>
        </w:tc>
      </w:tr>
    </w:tbl>
    <w:p/>
    <w:p>
      <w:pPr>
        <w:pStyle w:val="Heading1"/>
      </w:pPr>
      <w:r>
        <w:t>3. Audiences</w:t>
      </w:r>
    </w:p>
    <w:p>
      <w:pPr>
        <w:pStyle w:val="ListBullet"/>
      </w:pPr>
      <w:r>
        <w:t>Engineers and technicians, 25–45, in the three office regions and offshore hubs (Aberdeen, Esbjerg)</w:t>
      </w:r>
    </w:p>
    <w:p>
      <w:pPr>
        <w:pStyle w:val="ListBullet"/>
      </w:pPr>
      <w:r>
        <w:t>Graduates in electrical, mechanical and civil engineering</w:t>
      </w:r>
    </w:p>
    <w:p>
      <w:pPr>
        <w:pStyle w:val="ListBullet"/>
      </w:pPr>
      <w:r>
        <w:t>Decision makers at offtakers, lenders and suppliers (account-based on LinkedIn)</w:t>
      </w:r>
    </w:p>
    <w:p>
      <w:pPr>
        <w:pStyle w:val="ListBullet"/>
      </w:pPr>
      <w:r>
        <w:t>Local communities around our projects (organic only – no paid media around Millbrook during planning)</w:t>
      </w:r>
    </w:p>
    <w:p>
      <w:pPr>
        <w:pStyle w:val="Heading1"/>
      </w:pPr>
      <w:r>
        <w:t>4. Creative idea</w:t>
      </w:r>
    </w:p>
    <w:p>
      <w:r>
        <w:t xml:space="preserve">Real people, real places: each key visual shows one of our assets with the person behind it – no stock, no renderings. Headline formula: </w:t>
      </w:r>
      <w:r>
        <w:rPr>
          <w:i/>
        </w:rPr>
        <w:t>[What we build] + [what it means]</w:t>
      </w:r>
      <w:r>
        <w:t xml:space="preserve">, e.g. “480 MW. Built by people who like a challenge.” Sign-off: </w:t>
      </w:r>
      <w:r>
        <w:rPr>
          <w:i/>
        </w:rPr>
        <w:t>Clean power, built to last.</w:t>
      </w:r>
      <w:r>
        <w:t xml:space="preserve"> Hashtag #PoweringTheNorth.</w:t>
      </w:r>
    </w:p>
    <w:p>
      <w:pPr>
        <w:jc w:val="center"/>
      </w:pPr>
      <w:r>
        <w:drawing>
          <wp:inline xmlns:a="http://schemas.openxmlformats.org/drawingml/2006/main" xmlns:pic="http://schemas.openxmlformats.org/drawingml/2006/picture">
            <wp:extent cx="5400000" cy="2315039"/>
            <wp:docPr id="1" name="Picture 1"/>
            <wp:cNvGraphicFramePr>
              <a:graphicFrameLocks noChangeAspect="1"/>
            </wp:cNvGraphicFramePr>
            <a:graphic>
              <a:graphicData uri="http://schemas.openxmlformats.org/drawingml/2006/picture">
                <pic:pic>
                  <pic:nvPicPr>
                    <pic:cNvPr id="0" name="marketing-kv-offshore.jpg"/>
                    <pic:cNvPicPr/>
                  </pic:nvPicPr>
                  <pic:blipFill>
                    <a:blip r:embed="rId11"/>
                    <a:stretch>
                      <a:fillRect/>
                    </a:stretch>
                  </pic:blipFill>
                  <pic:spPr>
                    <a:xfrm>
                      <a:off x="0" y="0"/>
                      <a:ext cx="5400000" cy="2315039"/>
                    </a:xfrm>
                    <a:prstGeom prst="rect"/>
                  </pic:spPr>
                </pic:pic>
              </a:graphicData>
            </a:graphic>
          </wp:inline>
        </w:drawing>
      </w:r>
    </w:p>
    <w:p>
      <w:pPr>
        <w:jc w:val="center"/>
      </w:pPr>
      <w:r>
        <w:rPr>
          <w:i/>
          <w:color w:val="4A5A68"/>
          <w:sz w:val="17"/>
        </w:rPr>
        <w:t>Key visual 1 – offshore (final selection).</w:t>
      </w:r>
    </w:p>
    <w:p>
      <w:pPr>
        <w:pStyle w:val="Heading1"/>
      </w:pPr>
      <w:r>
        <w:t>5. Channels and budget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Channel</w:t>
            </w:r>
          </w:p>
        </w:tc>
        <w:tc>
          <w:tcPr>
            <w:tcW w:type="dxa" w:w="3137"/>
            <w:shd w:val="clear" w:color="auto" w:fill="0B3C5D"/>
          </w:tcPr>
          <w:p>
            <w:r/>
            <w:r>
              <w:rPr>
                <w:b/>
                <w:color w:val="FFFFFF"/>
                <w:sz w:val="18"/>
              </w:rPr>
              <w:t>EUR</w:t>
            </w:r>
          </w:p>
        </w:tc>
        <w:tc>
          <w:tcPr>
            <w:tcW w:type="dxa" w:w="3137"/>
            <w:shd w:val="clear" w:color="auto" w:fill="0B3C5D"/>
          </w:tcPr>
          <w:p>
            <w:r/>
            <w:r>
              <w:rPr>
                <w:b/>
                <w:color w:val="FFFFFF"/>
                <w:sz w:val="18"/>
              </w:rPr>
              <w:t>Share</w:t>
            </w:r>
          </w:p>
        </w:tc>
      </w:tr>
      <w:tr>
        <w:tc>
          <w:tcPr>
            <w:tcW w:type="dxa" w:w="3137"/>
          </w:tcPr>
          <w:p>
            <w:r/>
            <w:r>
              <w:rPr>
                <w:sz w:val="18"/>
              </w:rPr>
              <w:t>LinkedIn paid (sponsored content, conversation ads)</w:t>
            </w:r>
          </w:p>
        </w:tc>
        <w:tc>
          <w:tcPr>
            <w:tcW w:type="dxa" w:w="3137"/>
          </w:tcPr>
          <w:p>
            <w:r/>
            <w:r>
              <w:rPr>
                <w:sz w:val="18"/>
              </w:rPr>
              <w:t>92,000</w:t>
            </w:r>
          </w:p>
        </w:tc>
        <w:tc>
          <w:tcPr>
            <w:tcW w:type="dxa" w:w="3137"/>
          </w:tcPr>
          <w:p>
            <w:r/>
            <w:r>
              <w:rPr>
                <w:sz w:val="18"/>
              </w:rPr>
              <w:t>38 %</w:t>
            </w:r>
          </w:p>
        </w:tc>
      </w:tr>
      <w:tr>
        <w:tc>
          <w:tcPr>
            <w:tcW w:type="dxa" w:w="3137"/>
            <w:shd w:val="clear" w:color="auto" w:fill="EEF3F6"/>
          </w:tcPr>
          <w:p>
            <w:r/>
            <w:r>
              <w:rPr>
                <w:sz w:val="18"/>
              </w:rPr>
              <w:t>Digital out-of-home: Hamburg Airport, Edinburgh Waverley</w:t>
            </w:r>
          </w:p>
        </w:tc>
        <w:tc>
          <w:tcPr>
            <w:tcW w:type="dxa" w:w="3137"/>
            <w:shd w:val="clear" w:color="auto" w:fill="EEF3F6"/>
          </w:tcPr>
          <w:p>
            <w:r/>
            <w:r>
              <w:rPr>
                <w:sz w:val="18"/>
              </w:rPr>
              <w:t>54,000</w:t>
            </w:r>
          </w:p>
        </w:tc>
        <w:tc>
          <w:tcPr>
            <w:tcW w:type="dxa" w:w="3137"/>
            <w:shd w:val="clear" w:color="auto" w:fill="EEF3F6"/>
          </w:tcPr>
          <w:p>
            <w:r/>
            <w:r>
              <w:rPr>
                <w:sz w:val="18"/>
              </w:rPr>
              <w:t>23 %</w:t>
            </w:r>
          </w:p>
        </w:tc>
      </w:tr>
      <w:tr>
        <w:tc>
          <w:tcPr>
            <w:tcW w:type="dxa" w:w="3137"/>
          </w:tcPr>
          <w:p>
            <w:r/>
            <w:r>
              <w:rPr>
                <w:sz w:val="18"/>
              </w:rPr>
              <w:t>Trade press print &amp; online</w:t>
            </w:r>
          </w:p>
        </w:tc>
        <w:tc>
          <w:tcPr>
            <w:tcW w:type="dxa" w:w="3137"/>
          </w:tcPr>
          <w:p>
            <w:r/>
            <w:r>
              <w:rPr>
                <w:sz w:val="18"/>
              </w:rPr>
              <w:t>31,000</w:t>
            </w:r>
          </w:p>
        </w:tc>
        <w:tc>
          <w:tcPr>
            <w:tcW w:type="dxa" w:w="3137"/>
          </w:tcPr>
          <w:p>
            <w:r/>
            <w:r>
              <w:rPr>
                <w:sz w:val="18"/>
              </w:rPr>
              <w:t>13 %</w:t>
            </w:r>
          </w:p>
        </w:tc>
      </w:tr>
      <w:tr>
        <w:tc>
          <w:tcPr>
            <w:tcW w:type="dxa" w:w="3137"/>
            <w:shd w:val="clear" w:color="auto" w:fill="EEF3F6"/>
          </w:tcPr>
          <w:p>
            <w:r/>
            <w:r>
              <w:rPr>
                <w:sz w:val="18"/>
              </w:rPr>
              <w:t>Podcast sponsorship (Energy Transition Talks)</w:t>
            </w:r>
          </w:p>
        </w:tc>
        <w:tc>
          <w:tcPr>
            <w:tcW w:type="dxa" w:w="3137"/>
            <w:shd w:val="clear" w:color="auto" w:fill="EEF3F6"/>
          </w:tcPr>
          <w:p>
            <w:r/>
            <w:r>
              <w:rPr>
                <w:sz w:val="18"/>
              </w:rPr>
              <w:t>18,000</w:t>
            </w:r>
          </w:p>
        </w:tc>
        <w:tc>
          <w:tcPr>
            <w:tcW w:type="dxa" w:w="3137"/>
            <w:shd w:val="clear" w:color="auto" w:fill="EEF3F6"/>
          </w:tcPr>
          <w:p>
            <w:r/>
            <w:r>
              <w:rPr>
                <w:sz w:val="18"/>
              </w:rPr>
              <w:t>8 %</w:t>
            </w:r>
          </w:p>
        </w:tc>
      </w:tr>
      <w:tr>
        <w:tc>
          <w:tcPr>
            <w:tcW w:type="dxa" w:w="3137"/>
          </w:tcPr>
          <w:p>
            <w:r/>
            <w:r>
              <w:rPr>
                <w:sz w:val="18"/>
              </w:rPr>
              <w:t>Production (photo shoot, video, design)</w:t>
            </w:r>
          </w:p>
        </w:tc>
        <w:tc>
          <w:tcPr>
            <w:tcW w:type="dxa" w:w="3137"/>
          </w:tcPr>
          <w:p>
            <w:r/>
            <w:r>
              <w:rPr>
                <w:sz w:val="18"/>
              </w:rPr>
              <w:t>35,000</w:t>
            </w:r>
          </w:p>
        </w:tc>
        <w:tc>
          <w:tcPr>
            <w:tcW w:type="dxa" w:w="3137"/>
          </w:tcPr>
          <w:p>
            <w:r/>
            <w:r>
              <w:rPr>
                <w:sz w:val="18"/>
              </w:rPr>
              <w:t>15 %</w:t>
            </w:r>
          </w:p>
        </w:tc>
      </w:tr>
      <w:tr>
        <w:tc>
          <w:tcPr>
            <w:tcW w:type="dxa" w:w="3137"/>
            <w:shd w:val="clear" w:color="auto" w:fill="EEF3F6"/>
          </w:tcPr>
          <w:p>
            <w:r/>
            <w:r>
              <w:rPr>
                <w:sz w:val="18"/>
              </w:rPr>
              <w:t>Contingency</w:t>
            </w:r>
          </w:p>
        </w:tc>
        <w:tc>
          <w:tcPr>
            <w:tcW w:type="dxa" w:w="3137"/>
            <w:shd w:val="clear" w:color="auto" w:fill="EEF3F6"/>
          </w:tcPr>
          <w:p>
            <w:r/>
            <w:r>
              <w:rPr>
                <w:sz w:val="18"/>
              </w:rPr>
              <w:t>10,000</w:t>
            </w:r>
          </w:p>
        </w:tc>
        <w:tc>
          <w:tcPr>
            <w:tcW w:type="dxa" w:w="3137"/>
            <w:shd w:val="clear" w:color="auto" w:fill="EEF3F6"/>
          </w:tcPr>
          <w:p>
            <w:r/>
            <w:r>
              <w:rPr>
                <w:sz w:val="18"/>
              </w:rPr>
              <w:t>4 %</w:t>
            </w:r>
          </w:p>
        </w:tc>
      </w:tr>
      <w:tr>
        <w:tc>
          <w:tcPr>
            <w:tcW w:type="dxa" w:w="3137"/>
          </w:tcPr>
          <w:p>
            <w:r/>
            <w:r>
              <w:rPr>
                <w:b/>
                <w:sz w:val="18"/>
              </w:rPr>
              <w:t>Total</w:t>
            </w:r>
          </w:p>
        </w:tc>
        <w:tc>
          <w:tcPr>
            <w:tcW w:type="dxa" w:w="3137"/>
          </w:tcPr>
          <w:p>
            <w:r/>
            <w:r>
              <w:rPr>
                <w:b/>
                <w:sz w:val="18"/>
              </w:rPr>
              <w:t>240,000</w:t>
            </w:r>
          </w:p>
        </w:tc>
        <w:tc>
          <w:tcPr>
            <w:tcW w:type="dxa" w:w="3137"/>
          </w:tcPr>
          <w:p>
            <w:r/>
            <w:r>
              <w:rPr>
                <w:sz w:val="18"/>
              </w:rPr>
              <w:t>100 %</w:t>
            </w:r>
          </w:p>
        </w:tc>
      </w:tr>
    </w:tbl>
    <w:p/>
    <w:p>
      <w:pPr>
        <w:pStyle w:val="Heading1"/>
      </w:pPr>
      <w:r>
        <w:t>6. Timeline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When</w:t>
            </w:r>
          </w:p>
        </w:tc>
        <w:tc>
          <w:tcPr>
            <w:tcW w:type="dxa" w:w="4706"/>
            <w:shd w:val="clear" w:color="auto" w:fill="0B3C5D"/>
          </w:tcPr>
          <w:p>
            <w:r/>
            <w:r>
              <w:rPr>
                <w:b/>
                <w:color w:val="FFFFFF"/>
                <w:sz w:val="18"/>
              </w:rPr>
              <w:t>What</w:t>
            </w:r>
          </w:p>
        </w:tc>
      </w:tr>
      <w:tr>
        <w:tc>
          <w:tcPr>
            <w:tcW w:type="dxa" w:w="4706"/>
          </w:tcPr>
          <w:p>
            <w:r/>
            <w:r>
              <w:rPr>
                <w:sz w:val="18"/>
              </w:rPr>
              <w:t>May</w:t>
            </w:r>
          </w:p>
        </w:tc>
        <w:tc>
          <w:tcPr>
            <w:tcW w:type="dxa" w:w="4706"/>
          </w:tcPr>
          <w:p>
            <w:r/>
            <w:r>
              <w:rPr>
                <w:sz w:val="18"/>
              </w:rPr>
              <w:t>Photo shoots at Kestrel Ridge, Port of Eastholm, Hamburg office</w:t>
            </w:r>
          </w:p>
        </w:tc>
      </w:tr>
      <w:tr>
        <w:tc>
          <w:tcPr>
            <w:tcW w:type="dxa" w:w="4706"/>
            <w:shd w:val="clear" w:color="auto" w:fill="EEF3F6"/>
          </w:tcPr>
          <w:p>
            <w:r/>
            <w:r>
              <w:rPr>
                <w:sz w:val="18"/>
              </w:rPr>
              <w:t>1 June</w:t>
            </w:r>
          </w:p>
        </w:tc>
        <w:tc>
          <w:tcPr>
            <w:tcW w:type="dxa" w:w="4706"/>
            <w:shd w:val="clear" w:color="auto" w:fill="EEF3F6"/>
          </w:tcPr>
          <w:p>
            <w:r/>
            <w:r>
              <w:rPr>
                <w:sz w:val="18"/>
              </w:rPr>
              <w:t>Launch – LinkedIn, careers page relaunch</w:t>
            </w:r>
          </w:p>
        </w:tc>
      </w:tr>
      <w:tr>
        <w:tc>
          <w:tcPr>
            <w:tcW w:type="dxa" w:w="4706"/>
          </w:tcPr>
          <w:p>
            <w:r/>
            <w:r>
              <w:rPr>
                <w:sz w:val="18"/>
              </w:rPr>
              <w:t>15 June – 15 July</w:t>
            </w:r>
          </w:p>
        </w:tc>
        <w:tc>
          <w:tcPr>
            <w:tcW w:type="dxa" w:w="4706"/>
          </w:tcPr>
          <w:p>
            <w:r/>
            <w:r>
              <w:rPr>
                <w:sz w:val="18"/>
              </w:rPr>
              <w:t>DOOH flight Hamburg Airport / Edinburgh Waverley</w:t>
            </w:r>
          </w:p>
        </w:tc>
      </w:tr>
      <w:tr>
        <w:tc>
          <w:tcPr>
            <w:tcW w:type="dxa" w:w="4706"/>
            <w:shd w:val="clear" w:color="auto" w:fill="EEF3F6"/>
          </w:tcPr>
          <w:p>
            <w:r/>
            <w:r>
              <w:rPr>
                <w:sz w:val="18"/>
              </w:rPr>
              <w:t>September</w:t>
            </w:r>
          </w:p>
        </w:tc>
        <w:tc>
          <w:tcPr>
            <w:tcW w:type="dxa" w:w="4706"/>
            <w:shd w:val="clear" w:color="auto" w:fill="EEF3F6"/>
          </w:tcPr>
          <w:p>
            <w:r/>
            <w:r>
              <w:rPr>
                <w:sz w:val="18"/>
              </w:rPr>
              <w:t>Summit tie-in (booth B4.210), second LinkedIn burst</w:t>
            </w:r>
          </w:p>
        </w:tc>
      </w:tr>
      <w:tr>
        <w:tc>
          <w:tcPr>
            <w:tcW w:type="dxa" w:w="4706"/>
          </w:tcPr>
          <w:p>
            <w:r/>
            <w:r>
              <w:rPr>
                <w:sz w:val="18"/>
              </w:rPr>
              <w:t>October</w:t>
            </w:r>
          </w:p>
        </w:tc>
        <w:tc>
          <w:tcPr>
            <w:tcW w:type="dxa" w:w="4706"/>
          </w:tcPr>
          <w:p>
            <w:r/>
            <w:r>
              <w:rPr>
                <w:sz w:val="18"/>
              </w:rPr>
              <w:t>Results report and decision on 2027 continuation</w:t>
            </w:r>
          </w:p>
        </w:tc>
      </w:tr>
    </w:tbl>
    <w:p/>
    <w:p>
      <w:pPr>
        <w:pStyle w:val="Heading1"/>
      </w:pPr>
      <w:r>
        <w:t>7. Guardrails</w:t>
      </w:r>
    </w:p>
    <w:p>
      <w:pPr>
        <w:pStyle w:val="ListBullet"/>
      </w:pPr>
      <w:r>
        <w:t>No campaign content about Millbrook while the planning application is open (agreed with Liam McAllister).</w:t>
      </w:r>
    </w:p>
    <w:p>
      <w:pPr>
        <w:pStyle w:val="ListBullet"/>
      </w:pPr>
      <w:r>
        <w:t>All site photos checked for correct PPE by HSE (Hannah Weber).</w:t>
      </w:r>
    </w:p>
    <w:p>
      <w:pPr>
        <w:pStyle w:val="ListBullet"/>
      </w:pPr>
      <w:r>
        <w:t>Figures only from the Annual Report 2025 or approved press releases.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Campaign brief: Powering the North  ·  WE-MC-BRF-2026-02</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brief: Powering the North</dc:title>
  <dc:subject>Employer and corporate brand campaign · June–September 2026</dc:subject>
  <dc:creator>Noah Fischer</dc:creator>
  <cp:keywords>approved, campaign</cp:keywords>
  <dc:description>generated by python-docx</dc:description>
  <cp:lastModifiedBy>Noah Fischer</cp:lastModifiedBy>
  <cp:revision>1</cp:revision>
  <dcterms:created xsi:type="dcterms:W3CDTF">2026-02-23T10:00:00Z</dcterms:created>
  <dcterms:modified xsi:type="dcterms:W3CDTF">2026-04-28T10:00:00Z</dcterms:modified>
  <cp:category/>
</cp:coreProperties>
</file>