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Harrow Bay Offshore Wind reaches financial close – EUR 1.1 billion secured for 480 MW North Sea project</w:t>
      </w:r>
    </w:p>
    <w:p>
      <w:r>
        <w:rPr>
          <w:color w:val="1FA2A6"/>
          <w:sz w:val="25"/>
        </w:rPr>
        <w:t>Press release</w:t>
      </w:r>
    </w:p>
    <w:p>
      <w:pPr>
        <w:pBdr>
          <w:bottom w:val="single" w:sz="12" w:space="6" w:color="1FA2A6"/>
        </w:pBdr>
      </w:pPr>
      <w:r>
        <w:rPr>
          <w:color w:val="4A5A68"/>
          <w:sz w:val="18"/>
        </w:rPr>
        <w:t>Noah Fischer  ·  11 February 2026</w:t>
      </w:r>
    </w:p>
    <w:p>
      <w:r>
        <w:rPr>
          <w:b/>
        </w:rPr>
        <w:t>Hamburg / Edinburgh, 12 February 2026</w:t>
      </w:r>
      <w:r>
        <w:t xml:space="preserve"> – Weyland Energy GmbH has taken the final investment decision on the 480 MW Harrow Bay Offshore Wind farm and reached financial close on EUR 1.1 billion of project finance. Hanseatic Infrastructure Bank acts as lead arranger. Total investment in the project is EUR 1,620 million.</w:t>
      </w:r>
    </w:p>
    <w:p>
      <w:r>
        <w:t>Located 38 km off the coast of Harrow Bay, Harrow Bay will consist of 40 Halden HTS-12 turbines, each rated at 12 MW, on monopile foundations in water depths of 28 to 36 metres. Once fully operational in 2028, the wind farm will generate around 1.9 TWh of electricity a year – equivalent to the needs of 520,000 homes.</w:t>
      </w:r>
    </w:p>
    <w:p>
      <w:r>
        <w:t xml:space="preserve">“Today is the day Harrow Bay moves from plans to steel,” said </w:t>
      </w:r>
      <w:r>
        <w:rPr>
          <w:b/>
        </w:rPr>
        <w:t>Dr. Amara Okafor, CEO of Weyland Energy</w:t>
      </w:r>
      <w:r>
        <w:t>. “It is the largest investment in our history and a vote of confidence from our lenders, suppliers and the communities along the coast who have helped shape this project since 2019.”</w:t>
      </w:r>
    </w:p>
    <w:p>
      <w:r>
        <w:t xml:space="preserve">“A financing of this size only comes together with a robust contract structure and a strong team,” said </w:t>
      </w:r>
      <w:r>
        <w:rPr>
          <w:b/>
        </w:rPr>
        <w:t>Jonas Richter, CFO</w:t>
      </w:r>
      <w:r>
        <w:t>. “We have fixed prices for turbines, foundations, cables and installation and a balanced risk allocation that gave our ten lending banks the confidence they needed.”</w:t>
      </w:r>
    </w:p>
    <w:p>
      <w:r>
        <w:t xml:space="preserve">“The supply chain is locked in and our marine teams are ready,” said </w:t>
      </w:r>
      <w:r>
        <w:rPr>
          <w:b/>
        </w:rPr>
        <w:t>Elena Márquez, Project Director</w:t>
      </w:r>
      <w:r>
        <w:t>. “Our focus now is a safe offshore campaign – and protecting the seabirds and harbour porpoises that share these waters with us.”</w:t>
      </w:r>
    </w:p>
    <w:p>
      <w:pPr>
        <w:pStyle w:val="Heading2"/>
      </w:pPr>
      <w:r>
        <w:t>Key facts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p>
        </w:tc>
        <w:tc>
          <w:tcPr>
            <w:tcW w:type="dxa" w:w="4706"/>
            <w:shd w:val="clear" w:color="auto" w:fill="0B3C5D"/>
          </w:tcPr>
          <w:p>
            <w:r/>
          </w:p>
        </w:tc>
      </w:tr>
      <w:tr>
        <w:tc>
          <w:tcPr>
            <w:tcW w:type="dxa" w:w="4706"/>
          </w:tcPr>
          <w:p>
            <w:r/>
            <w:r>
              <w:rPr>
                <w:sz w:val="18"/>
              </w:rPr>
              <w:t>Capacity</w:t>
            </w:r>
          </w:p>
        </w:tc>
        <w:tc>
          <w:tcPr>
            <w:tcW w:type="dxa" w:w="4706"/>
          </w:tcPr>
          <w:p>
            <w:r/>
            <w:r>
              <w:rPr>
                <w:sz w:val="18"/>
              </w:rPr>
              <w:t>480 MW</w:t>
            </w:r>
          </w:p>
        </w:tc>
      </w:tr>
      <w:tr>
        <w:tc>
          <w:tcPr>
            <w:tcW w:type="dxa" w:w="4706"/>
            <w:shd w:val="clear" w:color="auto" w:fill="EEF3F6"/>
          </w:tcPr>
          <w:p>
            <w:r/>
            <w:r>
              <w:rPr>
                <w:sz w:val="18"/>
              </w:rPr>
              <w:t>Turbines</w:t>
            </w:r>
          </w:p>
        </w:tc>
        <w:tc>
          <w:tcPr>
            <w:tcW w:type="dxa" w:w="4706"/>
            <w:shd w:val="clear" w:color="auto" w:fill="EEF3F6"/>
          </w:tcPr>
          <w:p>
            <w:r/>
            <w:r>
              <w:rPr>
                <w:sz w:val="18"/>
              </w:rPr>
              <w:t>40 × Halden HTS-12 (12 MW), rotor diameter 236 m, hub height 140 m</w:t>
            </w:r>
          </w:p>
        </w:tc>
      </w:tr>
      <w:tr>
        <w:tc>
          <w:tcPr>
            <w:tcW w:type="dxa" w:w="4706"/>
          </w:tcPr>
          <w:p>
            <w:r/>
            <w:r>
              <w:rPr>
                <w:sz w:val="18"/>
              </w:rPr>
              <w:t>Foundations</w:t>
            </w:r>
          </w:p>
        </w:tc>
        <w:tc>
          <w:tcPr>
            <w:tcW w:type="dxa" w:w="4706"/>
          </w:tcPr>
          <w:p>
            <w:r/>
            <w:r>
              <w:rPr>
                <w:sz w:val="18"/>
              </w:rPr>
              <w:t>Monopiles, 9.5 m diameter, water depth 28–36 m</w:t>
            </w:r>
          </w:p>
        </w:tc>
      </w:tr>
      <w:tr>
        <w:tc>
          <w:tcPr>
            <w:tcW w:type="dxa" w:w="4706"/>
            <w:shd w:val="clear" w:color="auto" w:fill="EEF3F6"/>
          </w:tcPr>
          <w:p>
            <w:r/>
            <w:r>
              <w:rPr>
                <w:sz w:val="18"/>
              </w:rPr>
              <w:t>Grid connection</w:t>
            </w:r>
          </w:p>
        </w:tc>
        <w:tc>
          <w:tcPr>
            <w:tcW w:type="dxa" w:w="4706"/>
            <w:shd w:val="clear" w:color="auto" w:fill="EEF3F6"/>
          </w:tcPr>
          <w:p>
            <w:r/>
            <w:r>
              <w:rPr>
                <w:sz w:val="18"/>
              </w:rPr>
              <w:t>2 × 220 kV export cables, 62 km each, to onshore substation Harrow Bay East</w:t>
            </w:r>
          </w:p>
        </w:tc>
      </w:tr>
      <w:tr>
        <w:tc>
          <w:tcPr>
            <w:tcW w:type="dxa" w:w="4706"/>
          </w:tcPr>
          <w:p>
            <w:r/>
            <w:r>
              <w:rPr>
                <w:sz w:val="18"/>
              </w:rPr>
              <w:t>Construction base</w:t>
            </w:r>
          </w:p>
        </w:tc>
        <w:tc>
          <w:tcPr>
            <w:tcW w:type="dxa" w:w="4706"/>
          </w:tcPr>
          <w:p>
            <w:r/>
            <w:r>
              <w:rPr>
                <w:sz w:val="18"/>
              </w:rPr>
              <w:t>Port of Eastholm</w:t>
            </w:r>
          </w:p>
        </w:tc>
      </w:tr>
      <w:tr>
        <w:tc>
          <w:tcPr>
            <w:tcW w:type="dxa" w:w="4706"/>
            <w:shd w:val="clear" w:color="auto" w:fill="EEF3F6"/>
          </w:tcPr>
          <w:p>
            <w:r/>
            <w:r>
              <w:rPr>
                <w:sz w:val="18"/>
              </w:rPr>
              <w:t>First power / COD</w:t>
            </w:r>
          </w:p>
        </w:tc>
        <w:tc>
          <w:tcPr>
            <w:tcW w:type="dxa" w:w="4706"/>
            <w:shd w:val="clear" w:color="auto" w:fill="EEF3F6"/>
          </w:tcPr>
          <w:p>
            <w:r/>
            <w:r>
              <w:rPr>
                <w:sz w:val="18"/>
              </w:rPr>
              <w:t>2027 / mid-2028</w:t>
            </w:r>
          </w:p>
        </w:tc>
      </w:tr>
    </w:tbl>
    <w:p/>
    <w:p>
      <w:r>
        <w:t>Offshore construction is scheduled to start in April 2026 with the installation of the first monopile from the jack-up vessel MV Sea Atlas. Elena Márquez, Project Director, leads a project team of around 60 people from Edinburgh.</w:t>
      </w:r>
    </w:p>
    <w:p>
      <w:r>
        <w:rPr>
          <w:b/>
        </w:rPr>
        <w:t>Media contact:</w:t>
      </w:r>
      <w:r>
        <w:t xml:space="preserve"> Noah Fischer, Marketing &amp; Communications Manager · press@weyland-energy.example · +49 40 3290 4410</w:t>
      </w:r>
    </w:p>
    <w:p>
      <w:r>
        <w:rPr>
          <w:b/>
        </w:rPr>
        <w:t>About Weyland Energy.</w:t>
      </w:r>
      <w:r>
        <w:t xml:space="preserve"> Weyland Energy GmbH develops, builds and operates wind, solar and storage assets across Northern Europe. Founded in 2011 and headquartered in Hamburg with offices in Edinburgh and Copenhagen, the company employs around 450 people, operates 1,100 MW of renewable capacity and has a development pipeline of 4.2 GW. In 2025 its assets avoided 1.2 million tonnes of CO₂. Clean power, built to last.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Harrow Bay Offshore Wind reaches financial close – EUR 1.1 billion secured for 480 MW North Sea project</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Harrow Bay Offshore Wind reaches financial close – EUR 1.1 billion secured for 480 MW North Sea project</dc:title>
  <dc:subject>Press release</dc:subject>
  <dc:creator>Noah Fischer</dc:creator>
  <cp:keywords>approved</cp:keywords>
  <dc:description>generated by python-docx</dc:description>
  <cp:lastModifiedBy>Noah Fischer</cp:lastModifiedBy>
  <cp:revision>1</cp:revision>
  <dcterms:created xsi:type="dcterms:W3CDTF">2026-01-19T10:00:00Z</dcterms:created>
  <dcterms:modified xsi:type="dcterms:W3CDTF">2026-02-11T18:40:00Z</dcterms:modified>
  <cp:category/>
</cp:coreProperties>
</file>