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Holding statement and reactive Q&amp;A</w:t>
      </w:r>
    </w:p>
    <w:p>
      <w:r>
        <w:rPr>
          <w:color w:val="1FA2A6"/>
          <w:sz w:val="25"/>
        </w:rPr>
        <w:t>Harrow Bay export cable 2 – HB-RISK-017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Noah Fischer  ·  24 July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Reactive use only – do not issue proactively. Approved by Elena Márquez and Dr. Amara Okafor on 24 July 2026. Internal reference HB-RISK-017.</w:t>
            </w:r>
          </w:p>
        </w:tc>
      </w:tr>
    </w:tbl>
    <w:p/>
    <w:p>
      <w:pPr>
        <w:pStyle w:val="Heading1"/>
      </w:pPr>
      <w:r>
        <w:t>Holding statement</w:t>
      </w:r>
    </w:p>
    <w:p>
      <w:r>
        <w:t>“During routine factory acceptance testing, our supplier Severn Subsea Cables identified a fault in a 9 km section of the second of two export cables for the Harrow Bay Offshore Wind farm. The section will be re-manufactured. We expect delivery of the cable to move by around eight weeks and are re-sequencing the cable installation campaign accordingly. We do not expect an impact on the planned start of commercial operation in 2028. Safety and quality come first – that is why these tests exist.” – Elena Márquez, Project Director</w:t>
      </w:r>
    </w:p>
    <w:p>
      <w:pPr>
        <w:pStyle w:val="Heading1"/>
      </w:pPr>
      <w:r>
        <w:t>Reactive Q&amp;A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658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Answer</w:t>
            </w:r>
          </w:p>
        </w:tc>
      </w:tr>
      <w:tr>
        <w:tc>
          <w:tcPr>
            <w:tcW w:type="dxa" w:w="2823"/>
          </w:tcPr>
          <w:p>
            <w:r/>
            <w:r>
              <w:rPr>
                <w:sz w:val="18"/>
              </w:rPr>
              <w:t>Will Harrow Bay be delayed?</w:t>
            </w:r>
          </w:p>
        </w:tc>
        <w:tc>
          <w:tcPr>
            <w:tcW w:type="dxa" w:w="6588"/>
          </w:tcPr>
          <w:p>
            <w:r/>
            <w:r>
              <w:rPr>
                <w:sz w:val="18"/>
              </w:rPr>
              <w:t>Cable 2 delivery moves by about eight weeks. Cable lay is not on the critical path for first power; COD in mid-2028 is unchanged.</w:t>
            </w:r>
          </w:p>
        </w:tc>
      </w:tr>
      <w:tr>
        <w:tc>
          <w:tcPr>
            <w:tcW w:type="dxa" w:w="2823"/>
            <w:shd w:val="clear" w:color="auto" w:fill="EEF3F6"/>
          </w:tcPr>
          <w:p>
            <w:r/>
            <w:r>
              <w:rPr>
                <w:sz w:val="18"/>
              </w:rPr>
              <w:t>What went wrong?</w:t>
            </w:r>
          </w:p>
        </w:tc>
        <w:tc>
          <w:tcPr>
            <w:tcW w:type="dxa" w:w="6588"/>
            <w:shd w:val="clear" w:color="auto" w:fill="EEF3F6"/>
          </w:tcPr>
          <w:p>
            <w:r/>
            <w:r>
              <w:rPr>
                <w:sz w:val="18"/>
              </w:rPr>
              <w:t>A test failure on one 9 km section during factory acceptance testing. The supplier is investigating the root cause; we will not speculate.</w:t>
            </w:r>
          </w:p>
        </w:tc>
      </w:tr>
      <w:tr>
        <w:tc>
          <w:tcPr>
            <w:tcW w:type="dxa" w:w="2823"/>
          </w:tcPr>
          <w:p>
            <w:r/>
            <w:r>
              <w:rPr>
                <w:sz w:val="18"/>
              </w:rPr>
              <w:t>Who pays?</w:t>
            </w:r>
          </w:p>
        </w:tc>
        <w:tc>
          <w:tcPr>
            <w:tcW w:type="dxa" w:w="6588"/>
          </w:tcPr>
          <w:p>
            <w:r/>
            <w:r>
              <w:rPr>
                <w:sz w:val="18"/>
              </w:rPr>
              <w:t>The contract with the supplier allocates the risk; we do not comment on commercial terms.</w:t>
            </w:r>
          </w:p>
        </w:tc>
      </w:tr>
      <w:tr>
        <w:tc>
          <w:tcPr>
            <w:tcW w:type="dxa" w:w="2823"/>
            <w:shd w:val="clear" w:color="auto" w:fill="EEF3F6"/>
          </w:tcPr>
          <w:p>
            <w:r/>
            <w:r>
              <w:rPr>
                <w:sz w:val="18"/>
              </w:rPr>
              <w:t>Does it affect the Arcturus Steel PPA?</w:t>
            </w:r>
          </w:p>
        </w:tc>
        <w:tc>
          <w:tcPr>
            <w:tcW w:type="dxa" w:w="6588"/>
            <w:shd w:val="clear" w:color="auto" w:fill="EEF3F6"/>
          </w:tcPr>
          <w:p>
            <w:r/>
            <w:r>
              <w:rPr>
                <w:sz w:val="18"/>
              </w:rPr>
              <w:t>No. The PPA starts at commercial operation, which remains planned for 2028.</w:t>
            </w:r>
          </w:p>
        </w:tc>
      </w:tr>
      <w:tr>
        <w:tc>
          <w:tcPr>
            <w:tcW w:type="dxa" w:w="2823"/>
          </w:tcPr>
          <w:p>
            <w:r/>
            <w:r>
              <w:rPr>
                <w:sz w:val="18"/>
              </w:rPr>
              <w:t>Is cable 1 affected?</w:t>
            </w:r>
          </w:p>
        </w:tc>
        <w:tc>
          <w:tcPr>
            <w:tcW w:type="dxa" w:w="6588"/>
          </w:tcPr>
          <w:p>
            <w:r/>
            <w:r>
              <w:rPr>
                <w:sz w:val="18"/>
              </w:rPr>
              <w:t>No. Cable 1 passed all factory tests.</w:t>
            </w:r>
          </w:p>
        </w:tc>
      </w:tr>
      <w:tr>
        <w:tc>
          <w:tcPr>
            <w:tcW w:type="dxa" w:w="2823"/>
            <w:shd w:val="clear" w:color="auto" w:fill="EEF3F6"/>
          </w:tcPr>
          <w:p>
            <w:r/>
            <w:r>
              <w:rPr>
                <w:sz w:val="18"/>
              </w:rPr>
              <w:t>Any environmental impact?</w:t>
            </w:r>
          </w:p>
        </w:tc>
        <w:tc>
          <w:tcPr>
            <w:tcW w:type="dxa" w:w="6588"/>
            <w:shd w:val="clear" w:color="auto" w:fill="EEF3F6"/>
          </w:tcPr>
          <w:p>
            <w:r/>
            <w:r>
              <w:rPr>
                <w:sz w:val="18"/>
              </w:rPr>
              <w:t>No. The cable has not left the factory.</w:t>
            </w:r>
          </w:p>
        </w:tc>
      </w:tr>
    </w:tbl>
    <w:p/>
    <w:p>
      <w:pPr>
        <w:pStyle w:val="Heading1"/>
      </w:pPr>
      <w:r>
        <w:t>Who speaks</w:t>
      </w:r>
    </w:p>
    <w:p>
      <w:pPr>
        <w:pStyle w:val="ListBullet"/>
      </w:pPr>
      <w:r>
        <w:t>Trade press and UK media: Elena Márquez (Noah Fischer coordinates)</w:t>
      </w:r>
    </w:p>
    <w:p>
      <w:pPr>
        <w:pStyle w:val="ListBullet"/>
      </w:pPr>
      <w:r>
        <w:t>German business media, investors: Jonas Richter</w:t>
      </w:r>
    </w:p>
    <w:p>
      <w:pPr>
        <w:pStyle w:val="ListBullet"/>
      </w:pPr>
      <w:r>
        <w:t>Local media Harrow Bay: Tom Berger, using the holding statement only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Holding statement and reactive Q&amp;A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Holding statement and reactive Q&amp;A</dc:title>
  <dc:subject>Harrow Bay export cable 2 – HB-RISK-017</dc:subject>
  <dc:creator>Noah Fischer</dc:creator>
  <cp:keywords>confidential, approved</cp:keywords>
  <dc:description>generated by python-docx</dc:description>
  <cp:lastModifiedBy>Noah Fischer</cp:lastModifiedBy>
  <cp:revision>1</cp:revision>
  <dcterms:created xsi:type="dcterms:W3CDTF">2026-07-22T10:00:00Z</dcterms:created>
  <dcterms:modified xsi:type="dcterms:W3CDTF">2026-07-24T10:00:00Z</dcterms:modified>
  <cp:category/>
</cp:coreProperties>
</file>