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Monthly Status Report – September 2026</w:t>
      </w:r>
    </w:p>
    <w:p>
      <w:r>
        <w:rPr>
          <w:color w:val="1FA2A6"/>
          <w:sz w:val="25"/>
        </w:rPr>
        <w:t>Millbrook Solar &amp; Storage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Liam McAllister  ·  02 October 2026  ·  MB-PM-RPT-202609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62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29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RAG</w:t>
            </w:r>
          </w:p>
        </w:tc>
        <w:tc>
          <w:tcPr>
            <w:tcW w:type="dxa" w:w="649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1623"/>
          </w:tcPr>
          <w:p>
            <w:r/>
            <w:r>
              <w:rPr>
                <w:sz w:val="18"/>
              </w:rPr>
              <w:t>Overall</w:t>
            </w:r>
          </w:p>
        </w:tc>
        <w:tc>
          <w:tcPr>
            <w:tcW w:type="dxa" w:w="1298"/>
          </w:tcPr>
          <w:p>
            <w:r/>
            <w:r>
              <w:rPr>
                <w:sz w:val="18"/>
              </w:rPr>
              <w:t>Green</w:t>
            </w:r>
          </w:p>
        </w:tc>
        <w:tc>
          <w:tcPr>
            <w:tcW w:type="dxa" w:w="6490"/>
          </w:tcPr>
          <w:p>
            <w:r/>
            <w:r>
              <w:rPr>
                <w:sz w:val="18"/>
              </w:rPr>
              <w:t>Consultation #3 on 16 September presented the amendments.</w:t>
            </w:r>
          </w:p>
        </w:tc>
      </w:tr>
      <w:tr>
        <w:tc>
          <w:tcPr>
            <w:tcW w:type="dxa" w:w="1623"/>
            <w:shd w:val="clear" w:color="auto" w:fill="EEF3F6"/>
          </w:tcPr>
          <w:p>
            <w:r/>
            <w:r>
              <w:rPr>
                <w:sz w:val="18"/>
              </w:rPr>
              <w:t>Cost</w:t>
            </w:r>
          </w:p>
        </w:tc>
        <w:tc>
          <w:tcPr>
            <w:tcW w:type="dxa" w:w="1298"/>
            <w:shd w:val="clear" w:color="auto" w:fill="EEF3F6"/>
          </w:tcPr>
          <w:p>
            <w:r/>
            <w:r>
              <w:rPr>
                <w:sz w:val="18"/>
              </w:rPr>
              <w:t>Green</w:t>
            </w:r>
          </w:p>
        </w:tc>
        <w:tc>
          <w:tcPr>
            <w:tcW w:type="dxa" w:w="6490"/>
            <w:shd w:val="clear" w:color="auto" w:fill="EEF3F6"/>
          </w:tcPr>
          <w:p>
            <w:r/>
            <w:r>
              <w:rPr>
                <w:sz w:val="18"/>
              </w:rPr>
              <w:t>Development spend EUR 2.61 m of EUR 3.10 m budget (84 %)</w:t>
            </w:r>
          </w:p>
        </w:tc>
      </w:tr>
      <w:tr>
        <w:tc>
          <w:tcPr>
            <w:tcW w:type="dxa" w:w="1623"/>
          </w:tcPr>
          <w:p>
            <w:r/>
            <w:r>
              <w:rPr>
                <w:sz w:val="18"/>
              </w:rPr>
              <w:t>Schedule</w:t>
            </w:r>
          </w:p>
        </w:tc>
        <w:tc>
          <w:tcPr>
            <w:tcW w:type="dxa" w:w="1298"/>
          </w:tcPr>
          <w:p>
            <w:r/>
            <w:r>
              <w:rPr>
                <w:sz w:val="18"/>
              </w:rPr>
              <w:t>Green</w:t>
            </w:r>
          </w:p>
        </w:tc>
        <w:tc>
          <w:tcPr>
            <w:tcW w:type="dxa" w:w="6490"/>
          </w:tcPr>
          <w:p>
            <w:r/>
            <w:r>
              <w:rPr>
                <w:sz w:val="18"/>
              </w:rPr>
              <w:t>Planning decision Q1 2027 – on track</w:t>
            </w:r>
          </w:p>
        </w:tc>
      </w:tr>
      <w:tr>
        <w:tc>
          <w:tcPr>
            <w:tcW w:type="dxa" w:w="1623"/>
            <w:shd w:val="clear" w:color="auto" w:fill="EEF3F6"/>
          </w:tcPr>
          <w:p>
            <w:r/>
            <w:r>
              <w:rPr>
                <w:sz w:val="18"/>
              </w:rPr>
              <w:t>Stakeholders</w:t>
            </w:r>
          </w:p>
        </w:tc>
        <w:tc>
          <w:tcPr>
            <w:tcW w:type="dxa" w:w="1298"/>
            <w:shd w:val="clear" w:color="auto" w:fill="EEF3F6"/>
          </w:tcPr>
          <w:p>
            <w:r/>
            <w:r>
              <w:rPr>
                <w:sz w:val="18"/>
              </w:rPr>
              <w:t>Green</w:t>
            </w:r>
          </w:p>
        </w:tc>
        <w:tc>
          <w:tcPr>
            <w:tcW w:type="dxa" w:w="6490"/>
            <w:shd w:val="clear" w:color="auto" w:fill="EEF3F6"/>
          </w:tcPr>
          <w:p>
            <w:r/>
            <w:r>
              <w:rPr>
                <w:sz w:val="18"/>
              </w:rPr>
              <w:t>Consultations held: 3 of 3</w:t>
            </w:r>
          </w:p>
        </w:tc>
      </w:tr>
    </w:tbl>
    <w:p/>
    <w:p>
      <w:pPr>
        <w:pStyle w:val="Heading1"/>
      </w:pPr>
      <w:r>
        <w:t>Summary</w:t>
      </w:r>
    </w:p>
    <w:p>
      <w:r>
        <w:t>Consultation #3 on 16 September presented the amendments. Support rose to 53 %. The Highways Authority confirmed CTMP Rev 2 addresses its concerns in principle.</w:t>
      </w:r>
    </w:p>
    <w:p>
      <w:pPr>
        <w:pStyle w:val="Heading1"/>
      </w:pPr>
      <w:r>
        <w:t>Key figures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Capex estimate (P50)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EUR 78.0 m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Open risks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Consultation responses to 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472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Development spend to date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EUR 2.61 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2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lbrook-chart-devspend-b7d63da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Development spend vs budget</w:t>
      </w:r>
    </w:p>
    <w:p>
      <w:pPr>
        <w:pStyle w:val="Heading1"/>
      </w:pPr>
      <w:r>
        <w:t>Next month</w:t>
      </w:r>
    </w:p>
    <w:p>
      <w:pPr>
        <w:pStyle w:val="ListBullet"/>
      </w:pPr>
      <w:r>
        <w:t>Amendment pack to council by 16 October</w:t>
      </w:r>
    </w:p>
    <w:p>
      <w:pPr>
        <w:pStyle w:val="ListBullet"/>
      </w:pPr>
      <w:r>
        <w:t>Consultation #3 feedback report</w:t>
      </w:r>
    </w:p>
    <w:p>
      <w:pPr>
        <w:pStyle w:val="ListBullet"/>
      </w:pPr>
      <w:r>
        <w:t>Start EPC negotiation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Monthly Status Report – September 2026  ·  MB-PM-RPT-202609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Status Report – September 2026</dc:title>
  <dc:subject>Millbrook Solar &amp; Storage</dc:subject>
  <dc:creator>Liam McAllister</dc:creator>
  <cp:keywords/>
  <dc:description>generated by python-docx</dc:description>
  <cp:lastModifiedBy>Liam McAllister</cp:lastModifiedBy>
  <cp:revision>1</cp:revision>
  <dcterms:created xsi:type="dcterms:W3CDTF">2026-10-02T10:00:00Z</dcterms:created>
  <dcterms:modified xsi:type="dcterms:W3CDTF">2026-10-02T10:00:00Z</dcterms:modified>
  <cp:category/>
</cp:coreProperties>
</file>