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Planning application – Millbrook Solar &amp; Storage</w:t>
      </w:r>
    </w:p>
    <w:p>
      <w:r>
        <w:rPr>
          <w:color w:val="1FA2A6"/>
          <w:sz w:val="25"/>
        </w:rPr>
        <w:t>Cover letter to Millbrook District Council</w:t>
      </w:r>
    </w:p>
    <w:p>
      <w:pPr>
        <w:pBdr>
          <w:bottom w:val="single" w:sz="12" w:space="6" w:color="1FA2A6"/>
        </w:pBdr>
      </w:pPr>
      <w:r>
        <w:rPr>
          <w:color w:val="4A5A68"/>
          <w:sz w:val="18"/>
        </w:rPr>
        <w:t>Liam McAllister  ·  18 June 2026</w:t>
      </w:r>
    </w:p>
    <w:p>
      <w:r>
        <w:t>Millbrook District Council, Development Management, Council Offices, Market Street, Millbrook</w:t>
      </w:r>
    </w:p>
    <w:p>
      <w:r>
        <w:t>FAO: Sarah Hollis, Senior Planning Officer – 18 June 2026</w:t>
      </w:r>
    </w:p>
    <w:p>
      <w:r>
        <w:rPr>
          <w:b/>
        </w:rPr>
        <w:t>Full planning application for a solar farm of up to 85 MWp with battery energy storage (20 MW / 40 MWh), substation, access, landscaping and biodiversity enhancements – land north of Millbrook (Ashcombe Farm and Hollins Farm)</w:t>
      </w:r>
    </w:p>
    <w:p>
      <w:r>
        <w:t>Dear Ms Hollis,</w:t>
      </w:r>
    </w:p>
    <w:p>
      <w:r>
        <w:t>Please find enclosed our full planning application, submitted today through the Planning Portal. Following our pre-application meeting on 19 January 2026 and the follow-up on 7 May 2026, the application includes all documents on the agreed validation list. The application fee has been paid online.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No.</w:t>
            </w:r>
          </w:p>
        </w:tc>
        <w:tc>
          <w:tcPr>
            <w:tcW w:type="dxa" w:w="4706"/>
            <w:shd w:val="clear" w:color="auto" w:fill="0B3C5D"/>
          </w:tcPr>
          <w:p>
            <w:r/>
            <w:r>
              <w:rPr>
                <w:b/>
                <w:color w:val="FFFFFF"/>
                <w:sz w:val="18"/>
              </w:rPr>
              <w:t>Document</w:t>
            </w:r>
          </w:p>
        </w:tc>
      </w:tr>
      <w:tr>
        <w:tc>
          <w:tcPr>
            <w:tcW w:type="dxa" w:w="4706"/>
          </w:tcPr>
          <w:p>
            <w:r/>
            <w:r>
              <w:rPr>
                <w:sz w:val="18"/>
              </w:rPr>
              <w:t>1</w:t>
            </w:r>
          </w:p>
        </w:tc>
        <w:tc>
          <w:tcPr>
            <w:tcW w:type="dxa" w:w="4706"/>
          </w:tcPr>
          <w:p>
            <w:r/>
            <w:r>
              <w:rPr>
                <w:sz w:val="18"/>
              </w:rPr>
              <w:t>Application form and certificates</w:t>
            </w:r>
          </w:p>
        </w:tc>
      </w:tr>
      <w:tr>
        <w:tc>
          <w:tcPr>
            <w:tcW w:type="dxa" w:w="4706"/>
            <w:shd w:val="clear" w:color="auto" w:fill="EEF3F6"/>
          </w:tcPr>
          <w:p>
            <w:r/>
            <w:r>
              <w:rPr>
                <w:sz w:val="18"/>
              </w:rPr>
              <w:t>2</w:t>
            </w:r>
          </w:p>
        </w:tc>
        <w:tc>
          <w:tcPr>
            <w:tcW w:type="dxa" w:w="4706"/>
            <w:shd w:val="clear" w:color="auto" w:fill="EEF3F6"/>
          </w:tcPr>
          <w:p>
            <w:r/>
            <w:r>
              <w:rPr>
                <w:sz w:val="18"/>
              </w:rPr>
              <w:t>Site location plan and Layout Rev C (MB-DES-DRG-0101)</w:t>
            </w:r>
          </w:p>
        </w:tc>
      </w:tr>
      <w:tr>
        <w:tc>
          <w:tcPr>
            <w:tcW w:type="dxa" w:w="4706"/>
          </w:tcPr>
          <w:p>
            <w:r/>
            <w:r>
              <w:rPr>
                <w:sz w:val="18"/>
              </w:rPr>
              <w:t>3</w:t>
            </w:r>
          </w:p>
        </w:tc>
        <w:tc>
          <w:tcPr>
            <w:tcW w:type="dxa" w:w="4706"/>
          </w:tcPr>
          <w:p>
            <w:r/>
            <w:r>
              <w:rPr>
                <w:sz w:val="18"/>
              </w:rPr>
              <w:t>Planning Statement (MB-PLN-RPT-0003)</w:t>
            </w:r>
          </w:p>
        </w:tc>
      </w:tr>
      <w:tr>
        <w:tc>
          <w:tcPr>
            <w:tcW w:type="dxa" w:w="4706"/>
            <w:shd w:val="clear" w:color="auto" w:fill="EEF3F6"/>
          </w:tcPr>
          <w:p>
            <w:r/>
            <w:r>
              <w:rPr>
                <w:sz w:val="18"/>
              </w:rPr>
              <w:t>4</w:t>
            </w:r>
          </w:p>
        </w:tc>
        <w:tc>
          <w:tcPr>
            <w:tcW w:type="dxa" w:w="4706"/>
            <w:shd w:val="clear" w:color="auto" w:fill="EEF3F6"/>
          </w:tcPr>
          <w:p>
            <w:r/>
            <w:r>
              <w:rPr>
                <w:sz w:val="18"/>
              </w:rPr>
              <w:t>Design and Access Statement (MB-PLN-RPT-0004)</w:t>
            </w:r>
          </w:p>
        </w:tc>
      </w:tr>
      <w:tr>
        <w:tc>
          <w:tcPr>
            <w:tcW w:type="dxa" w:w="4706"/>
          </w:tcPr>
          <w:p>
            <w:r/>
            <w:r>
              <w:rPr>
                <w:sz w:val="18"/>
              </w:rPr>
              <w:t>5</w:t>
            </w:r>
          </w:p>
        </w:tc>
        <w:tc>
          <w:tcPr>
            <w:tcW w:type="dxa" w:w="4706"/>
          </w:tcPr>
          <w:p>
            <w:r/>
            <w:r>
              <w:rPr>
                <w:sz w:val="18"/>
              </w:rPr>
              <w:t>Statement of Community Involvement (MB-PLN-RPT-0006)</w:t>
            </w:r>
          </w:p>
        </w:tc>
      </w:tr>
      <w:tr>
        <w:tc>
          <w:tcPr>
            <w:tcW w:type="dxa" w:w="4706"/>
            <w:shd w:val="clear" w:color="auto" w:fill="EEF3F6"/>
          </w:tcPr>
          <w:p>
            <w:r/>
            <w:r>
              <w:rPr>
                <w:sz w:val="18"/>
              </w:rPr>
              <w:t>6</w:t>
            </w:r>
          </w:p>
        </w:tc>
        <w:tc>
          <w:tcPr>
            <w:tcW w:type="dxa" w:w="4706"/>
            <w:shd w:val="clear" w:color="auto" w:fill="EEF3F6"/>
          </w:tcPr>
          <w:p>
            <w:r/>
            <w:r>
              <w:rPr>
                <w:sz w:val="18"/>
              </w:rPr>
              <w:t>Landscape and Visual Impact Assessment (MB-DES-RPT-0018)</w:t>
            </w:r>
          </w:p>
        </w:tc>
      </w:tr>
      <w:tr>
        <w:tc>
          <w:tcPr>
            <w:tcW w:type="dxa" w:w="4706"/>
          </w:tcPr>
          <w:p>
            <w:r/>
            <w:r>
              <w:rPr>
                <w:sz w:val="18"/>
              </w:rPr>
              <w:t>7</w:t>
            </w:r>
          </w:p>
        </w:tc>
        <w:tc>
          <w:tcPr>
            <w:tcW w:type="dxa" w:w="4706"/>
          </w:tcPr>
          <w:p>
            <w:r/>
            <w:r>
              <w:rPr>
                <w:sz w:val="18"/>
              </w:rPr>
              <w:t>Glint and Glare Assessment (MB-DES-RPT-0021)</w:t>
            </w:r>
          </w:p>
        </w:tc>
      </w:tr>
      <w:tr>
        <w:tc>
          <w:tcPr>
            <w:tcW w:type="dxa" w:w="4706"/>
            <w:shd w:val="clear" w:color="auto" w:fill="EEF3F6"/>
          </w:tcPr>
          <w:p>
            <w:r/>
            <w:r>
              <w:rPr>
                <w:sz w:val="18"/>
              </w:rPr>
              <w:t>8</w:t>
            </w:r>
          </w:p>
        </w:tc>
        <w:tc>
          <w:tcPr>
            <w:tcW w:type="dxa" w:w="4706"/>
            <w:shd w:val="clear" w:color="auto" w:fill="EEF3F6"/>
          </w:tcPr>
          <w:p>
            <w:r/>
            <w:r>
              <w:rPr>
                <w:sz w:val="18"/>
              </w:rPr>
              <w:t>Flood Risk Assessment and Drainage Strategy (MB-DES-RPT-0024)</w:t>
            </w:r>
          </w:p>
        </w:tc>
      </w:tr>
      <w:tr>
        <w:tc>
          <w:tcPr>
            <w:tcW w:type="dxa" w:w="4706"/>
          </w:tcPr>
          <w:p>
            <w:r/>
            <w:r>
              <w:rPr>
                <w:sz w:val="18"/>
              </w:rPr>
              <w:t>9</w:t>
            </w:r>
          </w:p>
        </w:tc>
        <w:tc>
          <w:tcPr>
            <w:tcW w:type="dxa" w:w="4706"/>
          </w:tcPr>
          <w:p>
            <w:r/>
            <w:r>
              <w:rPr>
                <w:sz w:val="18"/>
              </w:rPr>
              <w:t>Ecological Impact Assessment (MAR-2026-117)</w:t>
            </w:r>
          </w:p>
        </w:tc>
      </w:tr>
      <w:tr>
        <w:tc>
          <w:tcPr>
            <w:tcW w:type="dxa" w:w="4706"/>
            <w:shd w:val="clear" w:color="auto" w:fill="EEF3F6"/>
          </w:tcPr>
          <w:p>
            <w:r/>
            <w:r>
              <w:rPr>
                <w:sz w:val="18"/>
              </w:rPr>
              <w:t>10</w:t>
            </w:r>
          </w:p>
        </w:tc>
        <w:tc>
          <w:tcPr>
            <w:tcW w:type="dxa" w:w="4706"/>
            <w:shd w:val="clear" w:color="auto" w:fill="EEF3F6"/>
          </w:tcPr>
          <w:p>
            <w:r/>
            <w:r>
              <w:rPr>
                <w:sz w:val="18"/>
              </w:rPr>
              <w:t>Biodiversity Net Gain Metric and Plan</w:t>
            </w:r>
          </w:p>
        </w:tc>
      </w:tr>
      <w:tr>
        <w:tc>
          <w:tcPr>
            <w:tcW w:type="dxa" w:w="4706"/>
          </w:tcPr>
          <w:p>
            <w:r/>
            <w:r>
              <w:rPr>
                <w:sz w:val="18"/>
              </w:rPr>
              <w:t>11</w:t>
            </w:r>
          </w:p>
        </w:tc>
        <w:tc>
          <w:tcPr>
            <w:tcW w:type="dxa" w:w="4706"/>
          </w:tcPr>
          <w:p>
            <w:r/>
            <w:r>
              <w:rPr>
                <w:sz w:val="18"/>
              </w:rPr>
              <w:t>Heritage Statement</w:t>
            </w:r>
          </w:p>
        </w:tc>
      </w:tr>
      <w:tr>
        <w:tc>
          <w:tcPr>
            <w:tcW w:type="dxa" w:w="4706"/>
            <w:shd w:val="clear" w:color="auto" w:fill="EEF3F6"/>
          </w:tcPr>
          <w:p>
            <w:r/>
            <w:r>
              <w:rPr>
                <w:sz w:val="18"/>
              </w:rPr>
              <w:t>12</w:t>
            </w:r>
          </w:p>
        </w:tc>
        <w:tc>
          <w:tcPr>
            <w:tcW w:type="dxa" w:w="4706"/>
            <w:shd w:val="clear" w:color="auto" w:fill="EEF3F6"/>
          </w:tcPr>
          <w:p>
            <w:r/>
            <w:r>
              <w:rPr>
                <w:sz w:val="18"/>
              </w:rPr>
              <w:t>Transport Statement and outline CTMP</w:t>
            </w:r>
          </w:p>
        </w:tc>
      </w:tr>
      <w:tr>
        <w:tc>
          <w:tcPr>
            <w:tcW w:type="dxa" w:w="4706"/>
          </w:tcPr>
          <w:p>
            <w:r/>
            <w:r>
              <w:rPr>
                <w:sz w:val="18"/>
              </w:rPr>
              <w:t>13</w:t>
            </w:r>
          </w:p>
        </w:tc>
        <w:tc>
          <w:tcPr>
            <w:tcW w:type="dxa" w:w="4706"/>
          </w:tcPr>
          <w:p>
            <w:r/>
            <w:r>
              <w:rPr>
                <w:sz w:val="18"/>
              </w:rPr>
              <w:t>Outline Battery Safety Management Plan</w:t>
            </w:r>
          </w:p>
        </w:tc>
      </w:tr>
      <w:tr>
        <w:tc>
          <w:tcPr>
            <w:tcW w:type="dxa" w:w="4706"/>
            <w:shd w:val="clear" w:color="auto" w:fill="EEF3F6"/>
          </w:tcPr>
          <w:p>
            <w:r/>
            <w:r>
              <w:rPr>
                <w:sz w:val="18"/>
              </w:rPr>
              <w:t>14</w:t>
            </w:r>
          </w:p>
        </w:tc>
        <w:tc>
          <w:tcPr>
            <w:tcW w:type="dxa" w:w="4706"/>
            <w:shd w:val="clear" w:color="auto" w:fill="EEF3F6"/>
          </w:tcPr>
          <w:p>
            <w:r/>
            <w:r>
              <w:rPr>
                <w:sz w:val="18"/>
              </w:rPr>
              <w:t>Agricultural Land Classification report</w:t>
            </w:r>
          </w:p>
        </w:tc>
      </w:tr>
      <w:tr>
        <w:tc>
          <w:tcPr>
            <w:tcW w:type="dxa" w:w="4706"/>
          </w:tcPr>
          <w:p>
            <w:r/>
            <w:r>
              <w:rPr>
                <w:sz w:val="18"/>
              </w:rPr>
              <w:t>15</w:t>
            </w:r>
          </w:p>
        </w:tc>
        <w:tc>
          <w:tcPr>
            <w:tcW w:type="dxa" w:w="4706"/>
          </w:tcPr>
          <w:p>
            <w:r/>
            <w:r>
              <w:rPr>
                <w:sz w:val="18"/>
              </w:rPr>
              <w:t>Noise Assessment</w:t>
            </w:r>
          </w:p>
        </w:tc>
      </w:tr>
      <w:tr>
        <w:tc>
          <w:tcPr>
            <w:tcW w:type="dxa" w:w="4706"/>
            <w:shd w:val="clear" w:color="auto" w:fill="EEF3F6"/>
          </w:tcPr>
          <w:p>
            <w:r/>
            <w:r>
              <w:rPr>
                <w:sz w:val="18"/>
              </w:rPr>
              <w:t>16</w:t>
            </w:r>
          </w:p>
        </w:tc>
        <w:tc>
          <w:tcPr>
            <w:tcW w:type="dxa" w:w="4706"/>
            <w:shd w:val="clear" w:color="auto" w:fill="EEF3F6"/>
          </w:tcPr>
          <w:p>
            <w:r/>
            <w:r>
              <w:rPr>
                <w:sz w:val="18"/>
              </w:rPr>
              <w:t>Arboricultural Impact Assessment</w:t>
            </w:r>
          </w:p>
        </w:tc>
      </w:tr>
    </w:tbl>
    <w:p/>
    <w:p>
      <w:r>
        <w:t>We would welcome an early discussion about draft conditions, in particular the CTMP, the hedgerow height at Mill Lane Cottages and the skylark mitigation. Please contact me directly if anything is unclear.</w:t>
      </w:r>
    </w:p>
    <w:p>
      <w:r>
        <w:t>Yours sincerely,</w:t>
      </w:r>
    </w:p>
    <w:p>
      <w:r>
        <w:t>Liam McAllister, Project Manager, Weyland Energy GmbH, Edinburgh</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Planning application – Millbrook Solar &amp; Storage</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application – Millbrook Solar &amp; Storage</dc:title>
  <dc:subject>Cover letter to Millbrook District Council</dc:subject>
  <dc:creator>Liam McAllister</dc:creator>
  <cp:keywords>signed</cp:keywords>
  <dc:description>generated by python-docx</dc:description>
  <cp:lastModifiedBy>Liam McAllister</cp:lastModifiedBy>
  <cp:revision>1</cp:revision>
  <dcterms:created xsi:type="dcterms:W3CDTF">2026-06-17T10:00:00Z</dcterms:created>
  <dcterms:modified xsi:type="dcterms:W3CDTF">2026-06-18T10:00:00Z</dcterms:modified>
  <cp:category/>
</cp:coreProperties>
</file>