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Investment Committee Paper</w:t>
      </w:r>
    </w:p>
    <w:p>
      <w:r>
        <w:rPr>
          <w:color w:val="1FA2A6"/>
          <w:sz w:val="25"/>
        </w:rPr>
        <w:t>Millbrook Solar &amp; Storage – development budget and community fund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22 May 2026  ·  IC-2026-05</w:t>
      </w:r>
    </w:p>
    <w:p>
      <w:pPr>
        <w:pStyle w:val="Heading1"/>
      </w:pPr>
      <w:r>
        <w:t>1. Decision requested</w:t>
      </w:r>
    </w:p>
    <w:p>
      <w:pPr>
        <w:pStyle w:val="ListNumber"/>
      </w:pPr>
      <w:r>
        <w:t>Approve a development budget of EUR 3.10 m up to planning consent (spent to date: EUR 1.88 m).</w:t>
      </w:r>
    </w:p>
    <w:p>
      <w:pPr>
        <w:pStyle w:val="ListNumber"/>
      </w:pPr>
      <w:r>
        <w:t>Approve a community fund of EUR 120,000 per year, index-linked, for the operational life.</w:t>
      </w:r>
    </w:p>
    <w:p>
      <w:pPr>
        <w:pStyle w:val="ListNumber"/>
      </w:pPr>
      <w:r>
        <w:t>Note the capex estimate of EUR 78.0 m and the planned EPC award to the preferred bidder in Q2 2027.</w:t>
      </w:r>
    </w:p>
    <w:p>
      <w:pPr>
        <w:pStyle w:val="Heading1"/>
      </w:pPr>
      <w:r>
        <w:t>2. Investment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Total capex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P50 generation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91.3 GWh/a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Power price assumption (years 1–15)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72/MWh (CfD-style strike price)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BESS revenue (year 1, conservative)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2.1 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Project IRR (pre-tax, unlevered, 35 years)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7.0 %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Equity IRR (70 % gearing)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9.6 %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capex-333c15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Capex breakdown</w:t>
      </w:r>
    </w:p>
    <w:p>
      <w:pPr>
        <w:pStyle w:val="Heading1"/>
      </w:pPr>
      <w:r>
        <w:t>3. Why a community fund of this size</w:t>
      </w:r>
    </w:p>
    <w:p>
      <w:r>
        <w:t>EUR 120,000 per year equals about EUR 1,400 per MWp, in line with the upper end of market practice for solar. It answers the most common question at consultation #1 ('what does the village get?') and costs 0.15 percentage points of project IRR.</w:t>
      </w:r>
    </w:p>
    <w:p>
      <w:pPr>
        <w:pStyle w:val="Heading1"/>
      </w:pPr>
      <w:r>
        <w:t>4. Risks</w:t>
      </w:r>
    </w:p>
    <w:p>
      <w:r>
        <w:t>Top risks are a refusal or deferral at committee (MB-RISK-001), construction traffic objections (MB-RISK-002) and the grid date (MB-RISK-004). See the risk register for mitigation.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5BA65B"/>
            </w:tcBorders>
          </w:tcPr>
          <w:p>
            <w:r/>
            <w:r>
              <w:rPr>
                <w:sz w:val="19"/>
              </w:rPr>
              <w:t>Approved by the Investment Committee on 26 May 2026.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Investment Committee Paper  ·  IC-2026-05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Committee Paper</dc:title>
  <dc:subject>Millbrook Solar &amp; Storage – development budget and community fund</dc:subject>
  <dc:creator>Liam McAllister</dc:creator>
  <cp:keywords>confidential, board, approved</cp:keywords>
  <dc:description>generated by python-docx</dc:description>
  <cp:lastModifiedBy>Liam McAllister</cp:lastModifiedBy>
  <cp:revision>1</cp:revision>
  <dcterms:created xsi:type="dcterms:W3CDTF">2026-05-12T10:00:00Z</dcterms:created>
  <dcterms:modified xsi:type="dcterms:W3CDTF">2026-05-22T10:00:00Z</dcterms:modified>
  <cp:category/>
</cp:coreProperties>
</file>