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Tender Evaluation Report – Millbrook EPC</w:t>
      </w:r>
    </w:p>
    <w:p>
      <w:r>
        <w:rPr>
          <w:color w:val="1FA2A6"/>
          <w:sz w:val="25"/>
        </w:rPr>
        <w:t>Tender MB-EPC-01 · recommendation for preferred bidder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Elena Márquez  ·  04 September 2026  ·  WE-PRC-TER-2026-04</w:t>
      </w:r>
    </w:p>
    <w:p>
      <w:pPr>
        <w:pStyle w:val="Heading1"/>
      </w:pPr>
      <w:r>
        <w:t>1. Summary and recommendation</w:t>
      </w:r>
    </w:p>
    <w:p>
      <w:r>
        <w:t xml:space="preserve">Four bids were received on 10 June 2026 for the EPC contract of Millbrook Solar &amp; Storage (85 MWp solar on single-axis trackers with ~ 158,000 bifacial modules and a 20 MW / 40 MWh battery storage system). After technical and commercial evaluation, the evaluation team recommends </w:t>
      </w:r>
      <w:r>
        <w:rPr>
          <w:b/>
        </w:rPr>
        <w:t>SunForge EPC Ltd as preferred bidder</w:t>
      </w:r>
      <w:r>
        <w:t xml:space="preserve"> with a weighted score of 4.46 out of 5 (89%).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Contract award is conditional on planning consent for application MDC/2026/0412 (decision expected Q1 2027). Until then SunForge is engaged under a preferred-bidder letter with an early-works cap of EUR 250,000.</w:t>
            </w:r>
          </w:p>
        </w:tc>
      </w:tr>
    </w:tbl>
    <w:p/>
    <w:p>
      <w:pPr>
        <w:pStyle w:val="Heading1"/>
      </w:pPr>
      <w:r>
        <w:t>2.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Bidder</w:t>
            </w:r>
          </w:p>
        </w:tc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Price (EUR m)</w:t>
            </w:r>
          </w:p>
        </w:tc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Weighted score</w:t>
            </w:r>
          </w:p>
        </w:tc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Rank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SunForge EPC Ltd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63.8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4.46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Helios Build Partners</w:t>
            </w:r>
          </w:p>
        </w:tc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67.2</w:t>
            </w:r>
          </w:p>
        </w:tc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4.17</w:t>
            </w:r>
          </w:p>
        </w:tc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GreenGrid Construction Ltd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61.9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3.92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Albion Solar Contracting</w:t>
            </w:r>
          </w:p>
        </w:tc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59.4</w:t>
            </w:r>
          </w:p>
        </w:tc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3.75</w:t>
            </w:r>
          </w:p>
        </w:tc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4</w:t>
            </w:r>
          </w:p>
        </w:tc>
      </w:tr>
    </w:tbl>
    <w:p/>
    <w:p>
      <w:pPr>
        <w:pStyle w:val="Heading1"/>
      </w:pPr>
      <w:r>
        <w:t>3. Key differentiators</w:t>
      </w:r>
    </w:p>
    <w:p>
      <w:pPr>
        <w:pStyle w:val="ListBullet"/>
      </w:pPr>
      <w:r>
        <w:rPr>
          <w:b/>
        </w:rPr>
        <w:t>SunForge EPC Ltd</w:t>
      </w:r>
      <w:r>
        <w:t xml:space="preserve"> – strongest yield model (P50 89.4 GWh/a), proven BESS integrator, best biodiversity plan (skylark plots, hedgerow planting). Price 7 % above lowest bid.</w:t>
      </w:r>
    </w:p>
    <w:p>
      <w:pPr>
        <w:pStyle w:val="ListBullet"/>
      </w:pPr>
      <w:r>
        <w:rPr>
          <w:b/>
        </w:rPr>
        <w:t>GreenGrid Construction</w:t>
      </w:r>
      <w:r>
        <w:t xml:space="preserve"> – competitive price, but BESS from an unqualified sub-supplier and weak glare assessment for nearby homes.</w:t>
      </w:r>
    </w:p>
    <w:p>
      <w:pPr>
        <w:pStyle w:val="ListBullet"/>
      </w:pPr>
      <w:r>
        <w:rPr>
          <w:b/>
        </w:rPr>
        <w:t>Helios Build Partners</w:t>
      </w:r>
      <w:r>
        <w:t xml:space="preserve"> – very good HSE record, highest price, longer programme (14 months).</w:t>
      </w:r>
    </w:p>
    <w:p>
      <w:pPr>
        <w:pStyle w:val="ListBullet"/>
      </w:pPr>
      <w:r>
        <w:rPr>
          <w:b/>
        </w:rPr>
        <w:t>Albion Solar Contracting</w:t>
      </w:r>
      <w:r>
        <w:t xml:space="preserve"> – lowest price, but significant technical exclusions (grid connection works, BESS commissioning) that would add an estimated EUR 4.5 m.</w:t>
      </w:r>
    </w:p>
    <w:p>
      <w:pPr>
        <w:pStyle w:val="Heading1"/>
      </w:pPr>
      <w:r>
        <w:t>4. Open points for negotiation</w:t>
      </w:r>
    </w:p>
    <w:p>
      <w:pPr>
        <w:pStyle w:val="ListBullet"/>
      </w:pPr>
      <w:r>
        <w:t>Construction traffic routing to avoid Mill Lane during school hours</w:t>
      </w:r>
    </w:p>
    <w:p>
      <w:pPr>
        <w:pStyle w:val="ListBullet"/>
      </w:pPr>
      <w:r>
        <w:t>Module supply chain traceability (polysilicon origin) – evidence required before award</w:t>
      </w:r>
    </w:p>
    <w:p>
      <w:pPr>
        <w:pStyle w:val="ListBullet"/>
      </w:pPr>
      <w:r>
        <w:t>Price validity extension to 30 June 2027</w:t>
      </w:r>
    </w:p>
    <w:p>
      <w:pPr>
        <w:pStyle w:val="ListBullet"/>
      </w:pPr>
      <w:r>
        <w:t>Liquidated damages for delay: EUR 25,000 per day proposed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Tender Evaluation Report – Millbrook EPC  ·  WE-PRC-TER-2026-04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Tender Evaluation Report – Millbrook EPC</dc:title>
  <dc:subject>Tender MB-EPC-01 · recommendation for preferred bidder</dc:subject>
  <dc:creator>Elena Márquez</dc:creator>
  <cp:keywords>confidential, approved</cp:keywords>
  <dc:description>generated by python-docx</dc:description>
  <cp:lastModifiedBy>Elena Márquez</cp:lastModifiedBy>
  <cp:revision>1</cp:revision>
  <dcterms:created xsi:type="dcterms:W3CDTF">2026-08-28T10:00:00Z</dcterms:created>
  <dcterms:modified xsi:type="dcterms:W3CDTF">2026-09-04T10:00:00Z</dcterms:modified>
  <cp:category/>
</cp:coreProperties>
</file>