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Northfield Offshore Wind – Bid Strategy</w:t>
      </w:r>
    </w:p>
    <w:p>
      <w:r>
        <w:rPr>
          <w:color w:val="1FA2A6"/>
          <w:sz w:val="25"/>
        </w:rPr>
        <w:t>Leasing round 2026 · 1.2 GW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Elena Márquez  ·  15 September 2026  ·  PL-001-BID-001</w:t>
      </w:r>
    </w:p>
    <w:p>
      <w:pPr>
        <w:pStyle w:val="Heading1"/>
      </w:pPr>
      <w:r>
        <w:t>1. Objective</w:t>
      </w:r>
    </w:p>
    <w:p>
      <w:r>
        <w:t>Secure the Northfield seabed lease (1.2 GW) at an option fee that preserves a project IRR of at least 9 % in our base case, as lead developer of a consortium.</w:t>
      </w:r>
    </w:p>
    <w:p>
      <w:pPr>
        <w:pStyle w:val="Heading1"/>
      </w:pPr>
      <w:r>
        <w:t>2. Evaluation of the 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Our approach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Option fee bid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Highest bid wins among qualified bidders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Disciplined cap (IC-2026-014)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Qualification – financial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Pass/fail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Parent guarantee + partner commitment letter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Qualification – technical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Pass/fail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Harrow Bay as reference (480 MW, monopiles, HTS-12)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Supply chain plan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Pass/fail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Local content commitments, port strategy</w:t>
            </w:r>
          </w:p>
        </w:tc>
      </w:tr>
    </w:tbl>
    <w:p/>
    <w:p>
      <w:pPr>
        <w:pStyle w:val="Heading1"/>
      </w:pPr>
      <w:r>
        <w:t>3. Value drivers</w:t>
      </w:r>
    </w:p>
    <w:p>
      <w:pPr>
        <w:pStyle w:val="ListBullet"/>
      </w:pPr>
      <w:r>
        <w:t>15 MW turbines: fewer monopiles (80 instead of 100), lower installation cost.</w:t>
      </w:r>
    </w:p>
    <w:p>
      <w:pPr>
        <w:pStyle w:val="ListBullet"/>
      </w:pPr>
      <w:r>
        <w:t>Wake losses: 2.5–3.5 % external wake from neighbours – sensitive to future leasing.</w:t>
      </w:r>
    </w:p>
    <w:p>
      <w:pPr>
        <w:pStyle w:val="ListBullet"/>
      </w:pPr>
      <w:r>
        <w:t>Grid: coordinated offshore network may delay first power; modelled 2033 COD.</w:t>
      </w:r>
    </w:p>
    <w:p>
      <w:pPr>
        <w:pStyle w:val="ListBullet"/>
      </w:pPr>
      <w:r>
        <w:t>Offtake: CfD for ≥ 60 % of output, corporate PPAs for the rest (Arcturus-type deals).</w:t>
      </w:r>
    </w:p>
    <w:p>
      <w:pPr>
        <w:pStyle w:val="Heading1"/>
      </w:pPr>
      <w:r>
        <w:t>4. Consortium</w:t>
      </w:r>
    </w:p>
    <w:p>
      <w:r>
        <w:t>Shortlist of three financial partners; target signing of a consortium agreement by 30 October 2026. Weyland 51 % with development lead and O&amp;M rights.</w:t>
      </w:r>
    </w:p>
    <w:p>
      <w:pPr>
        <w:pStyle w:val="Heading1"/>
      </w:pPr>
      <w:r>
        <w:t>5.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2026-10-09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Qualification documents submitted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2026-10-30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Consortium agreement signed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2026-11-20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Final price setting meeting (closed session)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2026-11-27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Bid submission deadline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2027-Q1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Award expected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Do not forward. Option fee scenarios are held only in the closed-session model with Jonas Richter.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Northfield Offshore Wind – Bid Strategy  ·  PL-001-BID-001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Northfield Offshore Wind – Bid Strategy</dc:title>
  <dc:subject>Leasing round 2026 · 1.2 GW</dc:subject>
  <dc:creator>Elena Márquez</dc:creator>
  <cp:keywords>confidential, in review</cp:keywords>
  <dc:description>generated by python-docx</dc:description>
  <cp:lastModifiedBy>Elena Márquez</cp:lastModifiedBy>
  <cp:revision>1</cp:revision>
  <dcterms:created xsi:type="dcterms:W3CDTF">2026-08-03T10:00:00Z</dcterms:created>
  <dcterms:modified xsi:type="dcterms:W3CDTF">2026-09-15T10:00:00Z</dcterms:modified>
  <cp:category/>
</cp:coreProperties>
</file>