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Competitor Watch – September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Liam McAllister  ·  30 September 2026</w:t>
      </w:r>
    </w:p>
    <w:p>
      <w:r>
        <w:rPr>
          <w:i/>
        </w:rPr>
        <w:t>Monthly digest compiled from press, planning portals and summit conversations (North Sea Energy Summit, 22–24 September).</w:t>
      </w:r>
    </w:p>
    <w:p>
      <w:pPr>
        <w:pStyle w:val="Heading1"/>
      </w:pPr>
      <w:r>
        <w:t>Headlines</w:t>
      </w:r>
    </w:p>
    <w:p>
      <w:pPr>
        <w:pStyle w:val="ListBullet"/>
      </w:pPr>
      <w:r>
        <w:rPr>
          <w:b/>
        </w:rPr>
        <w:t>Nordvind Energy</w:t>
      </w:r>
      <w:r>
        <w:t xml:space="preserve"> confirmed at the summit that it will bid for Northfield with a utility partner.</w:t>
      </w:r>
    </w:p>
    <w:p>
      <w:pPr>
        <w:pStyle w:val="ListBullet"/>
      </w:pPr>
      <w:r>
        <w:rPr>
          <w:b/>
        </w:rPr>
        <w:t>Helios Grid Storage</w:t>
      </w:r>
      <w:r>
        <w:t xml:space="preserve"> applied for 150 MW at Brayton Moor – our PL-010 screening now less attractive.</w:t>
      </w:r>
    </w:p>
    <w:p>
      <w:pPr>
        <w:pStyle w:val="ListBullet"/>
      </w:pPr>
      <w:r>
        <w:rPr>
          <w:b/>
        </w:rPr>
        <w:t>Caledon Wind</w:t>
      </w:r>
      <w:r>
        <w:t xml:space="preserve"> acquired a 52 MW consented project 30 km from Glenmore; possible competing bid on Glenmore.</w:t>
      </w:r>
    </w:p>
    <w:p>
      <w:pPr>
        <w:pStyle w:val="ListBullet"/>
      </w:pPr>
      <w:r>
        <w:rPr>
          <w:b/>
        </w:rPr>
        <w:t>Albion Renewables</w:t>
      </w:r>
      <w:r>
        <w:t xml:space="preserve"> received consent for a 49.9 MW solar farm in the same district as Saltmarsh.</w:t>
      </w:r>
    </w:p>
    <w:p>
      <w:pPr>
        <w:pStyle w:val="Heading1"/>
      </w:pPr>
      <w:r>
        <w:t>Implications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Our opportunity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Competitor move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PL-001 Northfield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Nordvind + utility consortium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Finalise partner by 30 Oct; keep IRR discipline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PL-010 Brayton Moor BESS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Helios application at node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Downgrade to long-list unless headroom confirmed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PL-005 Glenmore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Caledon Wind interest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Submit binding offer by 30 Oct as planned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PL-008 Saltmarsh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Albion consent nearby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Check cumulative landscape impact early</w:t>
            </w:r>
          </w:p>
        </w:tc>
      </w:tr>
    </w:tbl>
    <w:p/>
    <w:p>
      <w:pPr>
        <w:pStyle w:val="Heading1"/>
      </w:pPr>
      <w:r>
        <w:t>Summit notes</w:t>
      </w:r>
    </w:p>
    <w:p>
      <w:r>
        <w:t>Several developers pivoting from merchant solar to storage-backed PPAs. Turbine OEMs signal stable prices for 2027 deliveries but long lead times for 15 MW platforms.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Competitor Watch – September 2026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Competitor Watch – September 2026</dc:title>
  <dc:subject/>
  <dc:creator>Liam McAllister</dc:creator>
  <cp:keywords/>
  <dc:description>generated by python-docx</dc:description>
  <cp:lastModifiedBy>Liam McAllister</cp:lastModifiedBy>
  <cp:revision>1</cp:revision>
  <dcterms:created xsi:type="dcterms:W3CDTF">2026-09-30T10:00:00Z</dcterms:created>
  <dcterms:modified xsi:type="dcterms:W3CDTF">2026-09-30T10:00:00Z</dcterms:modified>
  <cp:category/>
</cp:coreProperties>
</file>