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IC Paper – Glenmore Onshore Wind Acquisition</w:t>
      </w:r>
    </w:p>
    <w:p>
      <w:r>
        <w:rPr>
          <w:color w:val="1FA2A6"/>
          <w:sz w:val="25"/>
        </w:rPr>
        <w:t>Request: approval to submit a binding offer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Richter  ·  24 July 2026  ·  IC-2026-011</w:t>
      </w:r>
    </w:p>
    <w:p>
      <w:pPr>
        <w:pStyle w:val="Heading1"/>
      </w:pPr>
      <w:r>
        <w:t>1. Decision requested</w:t>
      </w:r>
    </w:p>
    <w:p>
      <w:r>
        <w:t xml:space="preserve">Approve submission of a binding offer for 100 % of the shares in Glenmore Wind Ltd (48 MW consented onshore wind project, PL-005) at a price of up to </w:t>
      </w:r>
      <w:r>
        <w:rPr>
          <w:b/>
        </w:rPr>
        <w:t>EUR 17.6 m</w:t>
      </w:r>
      <w:r>
        <w:t>, subject to the conditions in section 5.</w:t>
      </w:r>
    </w:p>
    <w:p>
      <w:pPr>
        <w:pStyle w:val="Heading1"/>
      </w:pPr>
      <w:r>
        <w:t>2. Rationale</w:t>
      </w:r>
    </w:p>
    <w:p>
      <w:pPr>
        <w:pStyle w:val="ListBullet"/>
      </w:pPr>
      <w:r>
        <w:t>Consented project – removes 3–4 years of planning risk.</w:t>
      </w:r>
    </w:p>
    <w:p>
      <w:pPr>
        <w:pStyle w:val="ListBullet"/>
      </w:pPr>
      <w:r>
        <w:t>Fits our Scottish operations hub around Kestrel Ridge (shared O&amp;M, spares).</w:t>
      </w:r>
    </w:p>
    <w:p>
      <w:pPr>
        <w:pStyle w:val="ListBullet"/>
      </w:pPr>
      <w:r>
        <w:t>Grid connection offer already in place (Q4 2029).</w:t>
      </w:r>
    </w:p>
    <w:p>
      <w:pPr>
        <w:pStyle w:val="Heading1"/>
      </w:pPr>
      <w:r>
        <w:t>3. Technical due diligence</w:t>
      </w:r>
    </w:p>
    <w:p>
      <w:r>
        <w:t>Engineering's TDD (WE-ENG-RPT-0031) identified two red flags: the vendor's energy yield is overstated (our P50: 147 GWh/a vs. vendor 158 GWh/a) and the grid connection date depends on an uncertain reinforcement. Five amber items can be managed in development.</w:t>
      </w:r>
    </w:p>
    <w:p>
      <w:pPr>
        <w:pStyle w:val="Heading1"/>
      </w:pPr>
      <w:r>
        <w:t>4.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P50 (GWh/a)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Equity value (EUR m)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Vendor case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158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21.0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Weyland base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147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17.6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Grid delay to 2031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147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14.2</w:t>
            </w:r>
          </w:p>
        </w:tc>
      </w:tr>
    </w:tbl>
    <w:p/>
    <w:p>
      <w:pPr>
        <w:pStyle w:val="Heading1"/>
      </w:pPr>
      <w:r>
        <w:t>5. Conditions</w:t>
      </w:r>
    </w:p>
    <w:p>
      <w:pPr>
        <w:pStyle w:val="ListBullet"/>
      </w:pPr>
      <w:r>
        <w:t>Condition precedent: transmission owner confirms reinforcement programme before completion.</w:t>
      </w:r>
    </w:p>
    <w:p>
      <w:pPr>
        <w:pStyle w:val="ListBullet"/>
      </w:pPr>
      <w:r>
        <w:t>Deferred consideration of EUR 2.0 m payable only if the connection date of Q4 2029 is held.</w:t>
      </w:r>
    </w:p>
    <w:p>
      <w:pPr>
        <w:pStyle w:val="ListBullet"/>
      </w:pPr>
      <w:r>
        <w:t>Seller warranties on consent conditions and land rights.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5BA65B"/>
            </w:tcBorders>
          </w:tcPr>
          <w:p>
            <w:r/>
            <w:r>
              <w:rPr>
                <w:sz w:val="19"/>
              </w:rPr>
              <w:t>Decision (IC 29 July 2026): approved with a cap of EUR 17.6 m including deferred consideration.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IC Paper – Glenmore Onshore Wind Acquisition  ·  IC-2026-011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 Paper – Glenmore Onshore Wind Acquisition</dc:title>
  <dc:subject>Request: approval to submit a binding offer</dc:subject>
  <dc:creator>Jonas Richter</dc:creator>
  <cp:keywords>confidential</cp:keywords>
  <dc:description>generated by python-docx</dc:description>
  <cp:lastModifiedBy>Jonas Richter</cp:lastModifiedBy>
  <cp:revision>1</cp:revision>
  <dcterms:created xsi:type="dcterms:W3CDTF">2026-07-17T10:00:00Z</dcterms:created>
  <dcterms:modified xsi:type="dcterms:W3CDTF">2026-07-24T10:00:00Z</dcterms:modified>
  <cp:category/>
</cp:coreProperties>
</file>