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Letter from the CEO</w:t>
      </w:r>
    </w:p>
    <w:p>
      <w:r>
        <w:rPr>
          <w:color w:val="1FA2A6"/>
          <w:sz w:val="25"/>
        </w:rPr>
        <w:t>Annual Report 2025</w:t>
      </w:r>
    </w:p>
    <w:p>
      <w:pPr>
        <w:pBdr>
          <w:bottom w:val="single" w:sz="12" w:space="6" w:color="1FA2A6"/>
        </w:pBdr>
      </w:pPr>
      <w:r>
        <w:rPr>
          <w:color w:val="4A5A68"/>
          <w:sz w:val="18"/>
        </w:rPr>
        <w:t>Noah Fischer  ·  30 January 2026</w:t>
      </w:r>
    </w:p>
    <w:p>
      <w:r>
        <w:t>Dear readers,</w:t>
      </w:r>
    </w:p>
    <w:p>
      <w:r>
        <w:t xml:space="preserve">2025 was a year of growth and of decisions. Our wind, solar and storage assets generated 2,860 GWh of clean electricity – enough for around 790,000 households – and avoided </w:t>
      </w:r>
      <w:r>
        <w:rPr>
          <w:b/>
        </w:rPr>
        <w:t>1.2 million tonnes of CO₂</w:t>
      </w:r>
      <w:r>
        <w:t xml:space="preserve">. Revenue grew by 13 % to </w:t>
      </w:r>
      <w:r>
        <w:rPr>
          <w:b/>
        </w:rPr>
        <w:t>EUR 312 m</w:t>
      </w:r>
      <w:r>
        <w:t xml:space="preserve">, EBITDA by 17 % to </w:t>
      </w:r>
      <w:r>
        <w:rPr>
          <w:b/>
        </w:rPr>
        <w:t>EUR 148 m</w:t>
      </w:r>
      <w:r>
        <w:t>. These are the best results in the fifteen-year history of Weyland.</w:t>
      </w:r>
    </w:p>
    <w:p>
      <w:r>
        <w:t>Behind these numbers are 450 people in Hamburg, Edinburgh and Copenhagen and many more at our partners. Kestrel Ridge, our 75.6 MW wind farm in the Scottish Borders, completed its first full calendar year with an availability of 97.4 %. Our technicians climbed thousands of metres of tower ladders, our engineers prepared one of the largest offshore wind projects in the North Sea and our finance team put together a financing package that would have seemed out of reach only a few years ago.</w:t>
      </w:r>
    </w:p>
    <w:p>
      <w:pPr>
        <w:pStyle w:val="Heading2"/>
      </w:pPr>
      <w:r>
        <w:t>Harrow Bay</w:t>
      </w:r>
    </w:p>
    <w:p>
      <w:r>
        <w:t>We expect the final investment decision for Harrow Bay in February 2026 [update after the board meeting on 12 February].</w:t>
      </w:r>
    </w:p>
    <w:p>
      <w:pPr>
        <w:pStyle w:val="Heading2"/>
      </w:pPr>
      <w:r>
        <w:t>Strategy</w:t>
      </w:r>
    </w:p>
    <w:p>
      <w:r>
        <w:t>[Strategy section to follow after the board workshop on 20 January.]</w:t>
      </w:r>
    </w:p>
    <w:p>
      <w:r>
        <w:t>I would like to thank Dr. Henrik Vogt, who led Weyland for nine years and handed over a company in excellent shape. I thank our shareholders and the Supervisory Board for their trust, our partners for their commitment and, above all, our employees for their work every single day.</w:t>
      </w:r>
    </w:p>
    <w:p>
      <w:r>
        <w:t xml:space="preserve">Hamburg, March 2026  </w:t>
        <w:br/>
      </w:r>
      <w:r>
        <w:rPr>
          <w:b/>
        </w:rPr>
        <w:t>Dr. Amara Okafor</w:t>
      </w:r>
      <w:r>
        <w:t xml:space="preserve">  </w:t>
        <w:br/>
        <w:t>Chief Executive Officer</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Letter from the CEO</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from the CEO</dc:title>
  <dc:subject>Annual Report 2025</dc:subject>
  <dc:creator>Noah Fischer</dc:creator>
  <cp:keywords>approved</cp:keywords>
  <dc:description>generated by python-docx</dc:description>
  <cp:lastModifiedBy>Noah Fischer</cp:lastModifiedBy>
  <cp:revision>1</cp:revision>
  <dcterms:created xsi:type="dcterms:W3CDTF">2026-01-26T10:00:00Z</dcterms:created>
  <dcterms:modified xsi:type="dcterms:W3CDTF">2026-01-30T10:00:00Z</dcterms:modified>
  <cp:category/>
</cp:coreProperties>
</file>