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Letter from the CEO</w:t>
      </w:r>
    </w:p>
    <w:p>
      <w:r>
        <w:rPr>
          <w:color w:val="1FA2A6"/>
          <w:sz w:val="25"/>
        </w:rPr>
        <w:t>Annual Report 2025</w:t>
      </w:r>
    </w:p>
    <w:p>
      <w:pPr>
        <w:pBdr>
          <w:bottom w:val="single" w:sz="12" w:space="6" w:color="1FA2A6"/>
        </w:pBdr>
      </w:pPr>
      <w:r>
        <w:rPr>
          <w:color w:val="4A5A68"/>
          <w:sz w:val="18"/>
        </w:rPr>
        <w:t>Noah Fischer  ·  02 March 2026</w:t>
      </w:r>
    </w:p>
    <w:p>
      <w:r>
        <w:t>Dear readers,</w:t>
      </w:r>
    </w:p>
    <w:p>
      <w:r>
        <w:t xml:space="preserve">2025 was a year of growth and of decisions. Our wind, solar and storage assets generated 2,860 GWh of clean electricity – enough for around 790,000 households – and avoided </w:t>
      </w:r>
      <w:r>
        <w:rPr>
          <w:b/>
        </w:rPr>
        <w:t>1.2 million tonnes of CO₂</w:t>
      </w:r>
      <w:r>
        <w:t xml:space="preserve">. Revenue grew by 13 % to </w:t>
      </w:r>
      <w:r>
        <w:rPr>
          <w:b/>
        </w:rPr>
        <w:t>EUR 312 m</w:t>
      </w:r>
      <w:r>
        <w:t xml:space="preserve">, EBITDA by 17 % to </w:t>
      </w:r>
      <w:r>
        <w:rPr>
          <w:b/>
        </w:rPr>
        <w:t>EUR 148 m</w:t>
      </w:r>
      <w:r>
        <w:t>. These are the best results in the fifteen-year history of Weyland.</w:t>
      </w:r>
    </w:p>
    <w:p>
      <w:r>
        <w:t>Behind these numbers are 450 people in Hamburg, Edinburgh and Copenhagen and many more at our partners. Kestrel Ridge, our 75.6 MW wind farm in the Scottish Borders, completed its first full calendar year with an availability of 97.4 %. Our technicians climbed thousands of metres of tower ladders, our engineers prepared one of the largest offshore wind projects in the North Sea and our finance team put together a financing package that would have seemed out of reach only a few years ago.</w:t>
      </w:r>
    </w:p>
    <w:p>
      <w:pPr>
        <w:pStyle w:val="Heading2"/>
      </w:pPr>
      <w:r>
        <w:t>Harrow Bay – the biggest step in our history</w:t>
      </w:r>
    </w:p>
    <w:p>
      <w:r>
        <w:t>On 12 February 2026 the Supervisory Board approved the final investment decision for Harrow Bay Offshore Wind. With 480 MW, 40 turbines and an investment of EUR 1.62 bn, Harrow Bay is bigger than everything Weyland has built before. Five banks led by Hanseatic Infrastructure Bank provide EUR 1.1 bn of project finance. From 2028, Harrow Bay will supply clean power to the equivalent of 520,000 homes.</w:t>
      </w:r>
    </w:p>
    <w:p>
      <w:pPr>
        <w:pStyle w:val="Heading2"/>
      </w:pPr>
      <w:r>
        <w:t>A new strategy: Clean power, built to last</w:t>
      </w:r>
    </w:p>
    <w:p>
      <w:r>
        <w:t>When I took over as CEO on 1 October 2025, I asked our teams and our board one question: how do we double the size of Weyland without losing what makes us good? The answer is our Strategy 2030. By 2030 we want to operate 2.5 GW of renewable capacity and generate revenue of around EUR 600 m from a pipeline that today comprises 4.2 GW of offshore wind, solar, onshore wind, storage and green hydrogen projects.</w:t>
      </w:r>
    </w:p>
    <w:p>
      <w:r>
        <w:t xml:space="preserve">Growth is not an end in itself. Our promise – </w:t>
      </w:r>
      <w:r>
        <w:rPr>
          <w:i/>
        </w:rPr>
        <w:t>clean power, built to last</w:t>
      </w:r>
      <w:r>
        <w:t xml:space="preserve"> – means assets that perform for decades, partnerships with communities that are built on trust, and a workplace where everyone goes home safe. Our total recordable injury rate fell to 2.1 per million hours worked; our goal is to be below 2.0 by 2028.</w:t>
      </w:r>
    </w:p>
    <w:p>
      <w:pPr>
        <w:pStyle w:val="Heading2"/>
      </w:pPr>
      <w:r>
        <w:t>Thank you</w:t>
      </w:r>
    </w:p>
    <w:p>
      <w:r>
        <w:t>I would like to thank Dr. Henrik Vogt, who led Weyland for nine years and handed over a company in excellent shape. I thank our shareholders and the Supervisory Board for their trust, our partners for their commitment and, above all, our employees for their work every single day.</w:t>
      </w:r>
    </w:p>
    <w:p>
      <w:r>
        <w:t xml:space="preserve">Hamburg, March 2026  </w:t>
        <w:br/>
        <w:t>Dr. Amara Okafor</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Letter from the CEO</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from the CEO</dc:title>
  <dc:subject>Annual Report 2025</dc:subject>
  <dc:creator>Noah Fischer</dc:creator>
  <cp:keywords>approved</cp:keywords>
  <dc:description>generated by python-docx</dc:description>
  <cp:lastModifiedBy>Noah Fischer</cp:lastModifiedBy>
  <cp:revision>1</cp:revision>
  <dcterms:created xsi:type="dcterms:W3CDTF">2026-01-26T10:00:00Z</dcterms:created>
  <dcterms:modified xsi:type="dcterms:W3CDTF">2026-03-02T10:00:00Z</dcterms:modified>
  <cp:category/>
</cp:coreProperties>
</file>