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Operations Review</w:t>
      </w:r>
    </w:p>
    <w:p>
      <w:r>
        <w:rPr>
          <w:color w:val="1FA2A6"/>
          <w:sz w:val="25"/>
        </w:rPr>
        <w:t>Annual Report 2025 – chapter 4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David Chen  ·  29 January 2026</w:t>
      </w:r>
    </w:p>
    <w:p>
      <w:pPr>
        <w:pStyle w:val="Heading2"/>
      </w:pPr>
      <w:r>
        <w:t>Fleet performance</w:t>
      </w:r>
    </w:p>
    <w:p>
      <w:r>
        <w:t>The operating portfolio of 1.1 GW generated 2,860 GWh in 2025 (2024: 2,664 GWh). Wind resources were close to the long-term average; solar irradiation was 3 % above average.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Asset 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GWh 2025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GWh 2024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Offshore wind (legacy minority stakes)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1,045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1,012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Onshore wind Germany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812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798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Onshore wind UK (incl. Kestrel Ridge)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512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Solar PV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296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281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Battery storage (net discharged)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89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</w:t>
            </w:r>
          </w:p>
        </w:tc>
      </w:tr>
    </w:tbl>
    <w:p/>
    <w:p>
      <w:pPr>
        <w:pStyle w:val="Heading2"/>
      </w:pPr>
      <w:r>
        <w:t>Kestrel Ridge Wind Farm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Operations Review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Review</dc:title>
  <dc:subject>Annual Report 2025 – chapter 4</dc:subject>
  <dc:creator>David Chen</dc:creator>
  <cp:keywords>approved</cp:keywords>
  <dc:description>generated by python-docx</dc:description>
  <cp:lastModifiedBy>David Chen</cp:lastModifiedBy>
  <cp:revision>1</cp:revision>
  <dcterms:created xsi:type="dcterms:W3CDTF">2026-01-14T10:00:00Z</dcterms:created>
  <dcterms:modified xsi:type="dcterms:W3CDTF">2026-01-29T10:00:00Z</dcterms:modified>
  <cp:category/>
</cp:coreProperties>
</file>