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O&amp;M Readiness Plan</w:t>
      </w:r>
    </w:p>
    <w:p>
      <w:r>
        <w:rPr>
          <w:color w:val="1FA2A6"/>
          <w:sz w:val="25"/>
        </w:rPr>
        <w:t>From first power 2027 to COD 2028</w:t>
      </w:r>
    </w:p>
    <w:p>
      <w:pPr>
        <w:pBdr>
          <w:bottom w:val="single" w:sz="12" w:space="6" w:color="1FA2A6"/>
        </w:pBdr>
      </w:pPr>
      <w:r>
        <w:rPr>
          <w:color w:val="4A5A68"/>
          <w:sz w:val="18"/>
        </w:rPr>
        <w:t>David Chen  ·  15 April 2026  ·  HB-OPS-PLN-0001</w:t>
      </w:r>
    </w:p>
    <w:p>
      <w:pPr>
        <w:pStyle w:val="Heading1"/>
      </w:pPr>
      <w:r>
        <w:t>1. Purpose</w:t>
      </w:r>
    </w:p>
    <w:p>
      <w:r>
        <w:t>This plan describes how Asset Operations will be ready to operate Harrow Bay Offshore Wind (480 MW, 40 × Halden HTS-12 (12 MW), rotor diameter 236 m, hub height 140 m) from first power (planned 30 September 2027) and to take full responsibility at the commercial operation date (planned 30 June 2028). It is owned by David Chen and agreed with Elena Márquez as Project Director.</w:t>
      </w:r>
    </w:p>
    <w:p>
      <w:pPr>
        <w:pStyle w:val="Heading1"/>
      </w:pPr>
      <w:r>
        <w:t>2. Operating model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Area</w:t>
            </w:r>
          </w:p>
        </w:tc>
        <w:tc>
          <w:tcPr>
            <w:tcW w:type="dxa" w:w="3137"/>
            <w:shd w:val="clear" w:color="auto" w:fill="0B3C5D"/>
          </w:tcPr>
          <w:p>
            <w:r/>
            <w:r>
              <w:rPr>
                <w:b/>
                <w:color w:val="FFFFFF"/>
                <w:sz w:val="18"/>
              </w:rPr>
              <w:t>During warranty (COD – COD+5)</w:t>
            </w:r>
          </w:p>
        </w:tc>
        <w:tc>
          <w:tcPr>
            <w:tcW w:type="dxa" w:w="3137"/>
            <w:shd w:val="clear" w:color="auto" w:fill="0B3C5D"/>
          </w:tcPr>
          <w:p>
            <w:r/>
            <w:r>
              <w:rPr>
                <w:b/>
                <w:color w:val="FFFFFF"/>
                <w:sz w:val="18"/>
              </w:rPr>
              <w:t>After warranty</w:t>
            </w:r>
          </w:p>
        </w:tc>
      </w:tr>
      <w:tr>
        <w:tc>
          <w:tcPr>
            <w:tcW w:type="dxa" w:w="3137"/>
          </w:tcPr>
          <w:p>
            <w:r/>
            <w:r>
              <w:rPr>
                <w:sz w:val="18"/>
              </w:rPr>
              <w:t>Turbines (40 × HTS-12)</w:t>
            </w:r>
          </w:p>
        </w:tc>
        <w:tc>
          <w:tcPr>
            <w:tcW w:type="dxa" w:w="3137"/>
          </w:tcPr>
          <w:p>
            <w:r/>
            <w:r>
              <w:rPr>
                <w:sz w:val="18"/>
              </w:rPr>
              <w:t>Halden Turbine Systems – warranty-period service under the turbine supply agreement (WE-CON-2025-022)</w:t>
            </w:r>
          </w:p>
        </w:tc>
        <w:tc>
          <w:tcPr>
            <w:tcW w:type="dxa" w:w="3137"/>
          </w:tcPr>
          <w:p>
            <w:r/>
            <w:r>
              <w:rPr>
                <w:sz w:val="18"/>
              </w:rPr>
              <w:t>Option: long-term service agreement or ISP</w:t>
            </w:r>
          </w:p>
        </w:tc>
      </w:tr>
      <w:tr>
        <w:tc>
          <w:tcPr>
            <w:tcW w:type="dxa" w:w="3137"/>
            <w:shd w:val="clear" w:color="auto" w:fill="EEF3F6"/>
          </w:tcPr>
          <w:p>
            <w:r/>
            <w:r>
              <w:rPr>
                <w:sz w:val="18"/>
              </w:rPr>
              <w:t>Balance of plant (OSS, cables, foundations)</w:t>
            </w:r>
          </w:p>
        </w:tc>
        <w:tc>
          <w:tcPr>
            <w:tcW w:type="dxa" w:w="3137"/>
            <w:shd w:val="clear" w:color="auto" w:fill="EEF3F6"/>
          </w:tcPr>
          <w:p>
            <w:r/>
            <w:r>
              <w:rPr>
                <w:sz w:val="18"/>
              </w:rPr>
              <w:t>Weyland O&amp;M team + specialist contractors</w:t>
            </w:r>
          </w:p>
        </w:tc>
        <w:tc>
          <w:tcPr>
            <w:tcW w:type="dxa" w:w="3137"/>
            <w:shd w:val="clear" w:color="auto" w:fill="EEF3F6"/>
          </w:tcPr>
          <w:p>
            <w:r/>
            <w:r>
              <w:rPr>
                <w:sz w:val="18"/>
              </w:rPr>
              <w:t>Same</w:t>
            </w:r>
          </w:p>
        </w:tc>
      </w:tr>
      <w:tr>
        <w:tc>
          <w:tcPr>
            <w:tcW w:type="dxa" w:w="3137"/>
          </w:tcPr>
          <w:p>
            <w:r/>
            <w:r>
              <w:rPr>
                <w:sz w:val="18"/>
              </w:rPr>
              <w:t>Marine coordination</w:t>
            </w:r>
          </w:p>
        </w:tc>
        <w:tc>
          <w:tcPr>
            <w:tcW w:type="dxa" w:w="3137"/>
          </w:tcPr>
          <w:p>
            <w:r/>
            <w:r>
              <w:rPr>
                <w:sz w:val="18"/>
              </w:rPr>
              <w:t>Weyland marine coordination centre at Port of Eastholm</w:t>
            </w:r>
          </w:p>
        </w:tc>
        <w:tc>
          <w:tcPr>
            <w:tcW w:type="dxa" w:w="3137"/>
          </w:tcPr>
          <w:p>
            <w:r/>
            <w:r>
              <w:rPr>
                <w:sz w:val="18"/>
              </w:rPr>
              <w:t>Same</w:t>
            </w:r>
          </w:p>
        </w:tc>
      </w:tr>
      <w:tr>
        <w:tc>
          <w:tcPr>
            <w:tcW w:type="dxa" w:w="3137"/>
            <w:shd w:val="clear" w:color="auto" w:fill="EEF3F6"/>
          </w:tcPr>
          <w:p>
            <w:r/>
            <w:r>
              <w:rPr>
                <w:sz w:val="18"/>
              </w:rPr>
              <w:t>Vessels</w:t>
            </w:r>
          </w:p>
        </w:tc>
        <w:tc>
          <w:tcPr>
            <w:tcW w:type="dxa" w:w="3137"/>
            <w:shd w:val="clear" w:color="auto" w:fill="EEF3F6"/>
          </w:tcPr>
          <w:p>
            <w:r/>
            <w:r>
              <w:rPr>
                <w:sz w:val="18"/>
              </w:rPr>
              <w:t>3 crew transfer vessels (CTV) on long-term charter; SOV decision in 2027</w:t>
            </w:r>
          </w:p>
        </w:tc>
        <w:tc>
          <w:tcPr>
            <w:tcW w:type="dxa" w:w="3137"/>
            <w:shd w:val="clear" w:color="auto" w:fill="EEF3F6"/>
          </w:tcPr>
          <w:p>
            <w:r/>
            <w:r>
              <w:rPr>
                <w:sz w:val="18"/>
              </w:rPr>
              <w:t>Review</w:t>
            </w:r>
          </w:p>
        </w:tc>
      </w:tr>
      <w:tr>
        <w:tc>
          <w:tcPr>
            <w:tcW w:type="dxa" w:w="3137"/>
          </w:tcPr>
          <w:p>
            <w:r/>
            <w:r>
              <w:rPr>
                <w:sz w:val="18"/>
              </w:rPr>
              <w:t>Remote operation</w:t>
            </w:r>
          </w:p>
        </w:tc>
        <w:tc>
          <w:tcPr>
            <w:tcW w:type="dxa" w:w="3137"/>
          </w:tcPr>
          <w:p>
            <w:r/>
            <w:r>
              <w:rPr>
                <w:sz w:val="18"/>
              </w:rPr>
              <w:t>Weyland Control Centre, Edinburgh (24/7)</w:t>
            </w:r>
          </w:p>
        </w:tc>
        <w:tc>
          <w:tcPr>
            <w:tcW w:type="dxa" w:w="3137"/>
          </w:tcPr>
          <w:p>
            <w:r/>
            <w:r>
              <w:rPr>
                <w:sz w:val="18"/>
              </w:rPr>
              <w:t>Same</w:t>
            </w:r>
          </w:p>
        </w:tc>
      </w:tr>
      <w:tr>
        <w:tc>
          <w:tcPr>
            <w:tcW w:type="dxa" w:w="3137"/>
            <w:shd w:val="clear" w:color="auto" w:fill="EEF3F6"/>
          </w:tcPr>
          <w:p>
            <w:r/>
            <w:r>
              <w:rPr>
                <w:sz w:val="18"/>
              </w:rPr>
              <w:t>Grid compliance</w:t>
            </w:r>
          </w:p>
        </w:tc>
        <w:tc>
          <w:tcPr>
            <w:tcW w:type="dxa" w:w="3137"/>
            <w:shd w:val="clear" w:color="auto" w:fill="EEF3F6"/>
          </w:tcPr>
          <w:p>
            <w:r/>
            <w:r>
              <w:rPr>
                <w:sz w:val="18"/>
              </w:rPr>
              <w:t>Weyland with NordGrid Transmission</w:t>
            </w:r>
          </w:p>
        </w:tc>
        <w:tc>
          <w:tcPr>
            <w:tcW w:type="dxa" w:w="3137"/>
            <w:shd w:val="clear" w:color="auto" w:fill="EEF3F6"/>
          </w:tcPr>
          <w:p>
            <w:r/>
            <w:r>
              <w:rPr>
                <w:sz w:val="18"/>
              </w:rPr>
              <w:t>Same</w:t>
            </w:r>
          </w:p>
        </w:tc>
      </w:tr>
    </w:tbl>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operations-ctv.jp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4A5A68"/>
          <w:sz w:val="17"/>
        </w:rPr>
        <w:t>Crew transfer vessels will operate from the O&amp;M base at Port of Eastholm</w:t>
      </w:r>
    </w:p>
    <w:p>
      <w:pPr>
        <w:pStyle w:val="Heading1"/>
      </w:pPr>
      <w:r>
        <w:t>3. Readiness workstreams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O&amp;M Readiness Plan  ·  HB-OPS-PLN-0001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O&amp;M Readiness Plan</dc:title>
  <dc:subject>From first power 2027 to COD 2028</dc:subject>
  <dc:creator>David Chen</dc:creator>
  <cp:keywords>in review</cp:keywords>
  <dc:description>generated by python-docx</dc:description>
  <cp:lastModifiedBy>David Chen</cp:lastModifiedBy>
  <cp:revision>1</cp:revision>
  <dcterms:created xsi:type="dcterms:W3CDTF">2026-03-09T10:00:00Z</dcterms:created>
  <dcterms:modified xsi:type="dcterms:W3CDTF">2026-04-15T10:00:00Z</dcterms:modified>
  <cp:category/>
</cp:coreProperties>
</file>