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Harrow Bay O&amp;M Readiness Plan</w:t>
      </w:r>
    </w:p>
    <w:p>
      <w:r>
        <w:rPr>
          <w:color w:val="1FA2A6"/>
          <w:sz w:val="25"/>
        </w:rPr>
        <w:t>From first power 2027 to COD 2028</w:t>
      </w:r>
    </w:p>
    <w:p>
      <w:pPr>
        <w:pBdr>
          <w:bottom w:val="single" w:sz="12" w:space="6" w:color="1FA2A6"/>
        </w:pBdr>
      </w:pPr>
      <w:r>
        <w:rPr>
          <w:color w:val="4A5A68"/>
          <w:sz w:val="18"/>
        </w:rPr>
        <w:t>Elena Márquez  ·  02 July 2026  ·  HB-OPS-PLN-0001</w:t>
      </w:r>
    </w:p>
    <w:p>
      <w:pPr>
        <w:pStyle w:val="Heading1"/>
      </w:pPr>
      <w:r>
        <w:t>1. Purpose</w:t>
      </w:r>
    </w:p>
    <w:p>
      <w:r>
        <w:t>This plan describes how Asset Operations will be ready to operate Harrow Bay Offshore Wind (480 MW, 40 × Halden HTS-12 (12 MW), rotor diameter 236 m, hub height 140 m) from first power (planned 30 September 2027) and to take full responsibility at the commercial operation date (planned 30 June 2028). It is owned by David Chen and agreed with Elena Márquez as Project Director.</w:t>
      </w:r>
    </w:p>
    <w:p>
      <w:pPr>
        <w:pStyle w:val="Heading1"/>
      </w:pPr>
      <w:r>
        <w:t>2. Operating model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Area</w:t>
            </w:r>
          </w:p>
        </w:tc>
        <w:tc>
          <w:tcPr>
            <w:tcW w:type="dxa" w:w="3137"/>
            <w:shd w:val="clear" w:color="auto" w:fill="0B3C5D"/>
          </w:tcPr>
          <w:p>
            <w:r/>
            <w:r>
              <w:rPr>
                <w:b/>
                <w:color w:val="FFFFFF"/>
                <w:sz w:val="18"/>
              </w:rPr>
              <w:t>During warranty (COD – COD+5)</w:t>
            </w:r>
          </w:p>
        </w:tc>
        <w:tc>
          <w:tcPr>
            <w:tcW w:type="dxa" w:w="3137"/>
            <w:shd w:val="clear" w:color="auto" w:fill="0B3C5D"/>
          </w:tcPr>
          <w:p>
            <w:r/>
            <w:r>
              <w:rPr>
                <w:b/>
                <w:color w:val="FFFFFF"/>
                <w:sz w:val="18"/>
              </w:rPr>
              <w:t>After warranty</w:t>
            </w:r>
          </w:p>
        </w:tc>
      </w:tr>
      <w:tr>
        <w:tc>
          <w:tcPr>
            <w:tcW w:type="dxa" w:w="3137"/>
          </w:tcPr>
          <w:p>
            <w:r/>
            <w:r>
              <w:rPr>
                <w:sz w:val="18"/>
              </w:rPr>
              <w:t>Turbines (40 × HTS-12)</w:t>
            </w:r>
          </w:p>
        </w:tc>
        <w:tc>
          <w:tcPr>
            <w:tcW w:type="dxa" w:w="3137"/>
          </w:tcPr>
          <w:p>
            <w:r/>
            <w:r>
              <w:rPr>
                <w:sz w:val="18"/>
              </w:rPr>
              <w:t>Halden Turbine Systems – warranty-period service under the turbine supply agreement (WE-CON-2025-022)</w:t>
            </w:r>
          </w:p>
        </w:tc>
        <w:tc>
          <w:tcPr>
            <w:tcW w:type="dxa" w:w="3137"/>
          </w:tcPr>
          <w:p>
            <w:r/>
            <w:r>
              <w:rPr>
                <w:sz w:val="18"/>
              </w:rPr>
              <w:t>Option: long-term service agreement or ISP</w:t>
            </w:r>
          </w:p>
        </w:tc>
      </w:tr>
      <w:tr>
        <w:tc>
          <w:tcPr>
            <w:tcW w:type="dxa" w:w="3137"/>
            <w:shd w:val="clear" w:color="auto" w:fill="EEF3F6"/>
          </w:tcPr>
          <w:p>
            <w:r/>
            <w:r>
              <w:rPr>
                <w:sz w:val="18"/>
              </w:rPr>
              <w:t>Balance of plant (OSS, cables, foundations)</w:t>
            </w:r>
          </w:p>
        </w:tc>
        <w:tc>
          <w:tcPr>
            <w:tcW w:type="dxa" w:w="3137"/>
            <w:shd w:val="clear" w:color="auto" w:fill="EEF3F6"/>
          </w:tcPr>
          <w:p>
            <w:r/>
            <w:r>
              <w:rPr>
                <w:sz w:val="18"/>
              </w:rPr>
              <w:t>Weyland O&amp;M team + specialist contractors</w:t>
            </w:r>
          </w:p>
        </w:tc>
        <w:tc>
          <w:tcPr>
            <w:tcW w:type="dxa" w:w="3137"/>
            <w:shd w:val="clear" w:color="auto" w:fill="EEF3F6"/>
          </w:tcPr>
          <w:p>
            <w:r/>
            <w:r>
              <w:rPr>
                <w:sz w:val="18"/>
              </w:rPr>
              <w:t>Same</w:t>
            </w:r>
          </w:p>
        </w:tc>
      </w:tr>
      <w:tr>
        <w:tc>
          <w:tcPr>
            <w:tcW w:type="dxa" w:w="3137"/>
          </w:tcPr>
          <w:p>
            <w:r/>
            <w:r>
              <w:rPr>
                <w:sz w:val="18"/>
              </w:rPr>
              <w:t>Marine coordination</w:t>
            </w:r>
          </w:p>
        </w:tc>
        <w:tc>
          <w:tcPr>
            <w:tcW w:type="dxa" w:w="3137"/>
          </w:tcPr>
          <w:p>
            <w:r/>
            <w:r>
              <w:rPr>
                <w:sz w:val="18"/>
              </w:rPr>
              <w:t>Weyland marine coordination centre at Port of Eastholm</w:t>
            </w:r>
          </w:p>
        </w:tc>
        <w:tc>
          <w:tcPr>
            <w:tcW w:type="dxa" w:w="3137"/>
          </w:tcPr>
          <w:p>
            <w:r/>
            <w:r>
              <w:rPr>
                <w:sz w:val="18"/>
              </w:rPr>
              <w:t>Same</w:t>
            </w:r>
          </w:p>
        </w:tc>
      </w:tr>
      <w:tr>
        <w:tc>
          <w:tcPr>
            <w:tcW w:type="dxa" w:w="3137"/>
            <w:shd w:val="clear" w:color="auto" w:fill="EEF3F6"/>
          </w:tcPr>
          <w:p>
            <w:r/>
            <w:r>
              <w:rPr>
                <w:sz w:val="18"/>
              </w:rPr>
              <w:t>Vessels</w:t>
            </w:r>
          </w:p>
        </w:tc>
        <w:tc>
          <w:tcPr>
            <w:tcW w:type="dxa" w:w="3137"/>
            <w:shd w:val="clear" w:color="auto" w:fill="EEF3F6"/>
          </w:tcPr>
          <w:p>
            <w:r/>
            <w:r>
              <w:rPr>
                <w:sz w:val="18"/>
              </w:rPr>
              <w:t>3 crew transfer vessels (CTV) on long-term charter; SOV decision in 2027</w:t>
            </w:r>
          </w:p>
        </w:tc>
        <w:tc>
          <w:tcPr>
            <w:tcW w:type="dxa" w:w="3137"/>
            <w:shd w:val="clear" w:color="auto" w:fill="EEF3F6"/>
          </w:tcPr>
          <w:p>
            <w:r/>
            <w:r>
              <w:rPr>
                <w:sz w:val="18"/>
              </w:rPr>
              <w:t>Review</w:t>
            </w:r>
          </w:p>
        </w:tc>
      </w:tr>
      <w:tr>
        <w:tc>
          <w:tcPr>
            <w:tcW w:type="dxa" w:w="3137"/>
          </w:tcPr>
          <w:p>
            <w:r/>
            <w:r>
              <w:rPr>
                <w:sz w:val="18"/>
              </w:rPr>
              <w:t>Remote operation</w:t>
            </w:r>
          </w:p>
        </w:tc>
        <w:tc>
          <w:tcPr>
            <w:tcW w:type="dxa" w:w="3137"/>
          </w:tcPr>
          <w:p>
            <w:r/>
            <w:r>
              <w:rPr>
                <w:sz w:val="18"/>
              </w:rPr>
              <w:t>Weyland Control Centre, Edinburgh (24/7)</w:t>
            </w:r>
          </w:p>
        </w:tc>
        <w:tc>
          <w:tcPr>
            <w:tcW w:type="dxa" w:w="3137"/>
          </w:tcPr>
          <w:p>
            <w:r/>
            <w:r>
              <w:rPr>
                <w:sz w:val="18"/>
              </w:rPr>
              <w:t>Same</w:t>
            </w:r>
          </w:p>
        </w:tc>
      </w:tr>
      <w:tr>
        <w:tc>
          <w:tcPr>
            <w:tcW w:type="dxa" w:w="3137"/>
            <w:shd w:val="clear" w:color="auto" w:fill="EEF3F6"/>
          </w:tcPr>
          <w:p>
            <w:r/>
            <w:r>
              <w:rPr>
                <w:sz w:val="18"/>
              </w:rPr>
              <w:t>Grid compliance</w:t>
            </w:r>
          </w:p>
        </w:tc>
        <w:tc>
          <w:tcPr>
            <w:tcW w:type="dxa" w:w="3137"/>
            <w:shd w:val="clear" w:color="auto" w:fill="EEF3F6"/>
          </w:tcPr>
          <w:p>
            <w:r/>
            <w:r>
              <w:rPr>
                <w:sz w:val="18"/>
              </w:rPr>
              <w:t>Weyland with NordGrid Transmission</w:t>
            </w:r>
          </w:p>
        </w:tc>
        <w:tc>
          <w:tcPr>
            <w:tcW w:type="dxa" w:w="3137"/>
            <w:shd w:val="clear" w:color="auto" w:fill="EEF3F6"/>
          </w:tcPr>
          <w:p>
            <w:r/>
            <w:r>
              <w:rPr>
                <w:sz w:val="18"/>
              </w:rPr>
              <w:t>Same</w:t>
            </w:r>
          </w:p>
        </w:tc>
      </w:tr>
    </w:tbl>
    <w:p/>
    <w:p>
      <w:pPr>
        <w:jc w:val="center"/>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operations-ctv.jpg"/>
                    <pic:cNvPicPr/>
                  </pic:nvPicPr>
                  <pic:blipFill>
                    <a:blip r:embed="rId11"/>
                    <a:stretch>
                      <a:fillRect/>
                    </a:stretch>
                  </pic:blipFill>
                  <pic:spPr>
                    <a:xfrm>
                      <a:off x="0" y="0"/>
                      <a:ext cx="5040000" cy="2835000"/>
                    </a:xfrm>
                    <a:prstGeom prst="rect"/>
                  </pic:spPr>
                </pic:pic>
              </a:graphicData>
            </a:graphic>
          </wp:inline>
        </w:drawing>
      </w:r>
    </w:p>
    <w:p>
      <w:pPr>
        <w:jc w:val="center"/>
      </w:pPr>
      <w:r>
        <w:rPr>
          <w:i/>
          <w:color w:val="4A5A68"/>
          <w:sz w:val="17"/>
        </w:rPr>
        <w:t>Crew transfer vessels will operate from the O&amp;M base at Port of Eastholm</w:t>
      </w:r>
    </w:p>
    <w:p>
      <w:pPr>
        <w:pStyle w:val="Heading1"/>
      </w:pPr>
      <w:r>
        <w:t>3. Readiness workstreams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B3C5D"/>
          </w:tcPr>
          <w:p>
            <w:r/>
            <w:r>
              <w:rPr>
                <w:b/>
                <w:color w:val="FFFFFF"/>
                <w:sz w:val="18"/>
              </w:rPr>
              <w:t>#</w:t>
            </w:r>
          </w:p>
        </w:tc>
        <w:tc>
          <w:tcPr>
            <w:tcW w:type="dxa" w:w="1882"/>
            <w:shd w:val="clear" w:color="auto" w:fill="0B3C5D"/>
          </w:tcPr>
          <w:p>
            <w:r/>
            <w:r>
              <w:rPr>
                <w:b/>
                <w:color w:val="FFFFFF"/>
                <w:sz w:val="18"/>
              </w:rPr>
              <w:t>Workstream</w:t>
            </w:r>
          </w:p>
        </w:tc>
        <w:tc>
          <w:tcPr>
            <w:tcW w:type="dxa" w:w="1882"/>
            <w:shd w:val="clear" w:color="auto" w:fill="0B3C5D"/>
          </w:tcPr>
          <w:p>
            <w:r/>
            <w:r>
              <w:rPr>
                <w:b/>
                <w:color w:val="FFFFFF"/>
                <w:sz w:val="18"/>
              </w:rPr>
              <w:t>Lead</w:t>
            </w:r>
          </w:p>
        </w:tc>
        <w:tc>
          <w:tcPr>
            <w:tcW w:type="dxa" w:w="1882"/>
            <w:shd w:val="clear" w:color="auto" w:fill="0B3C5D"/>
          </w:tcPr>
          <w:p>
            <w:r/>
            <w:r>
              <w:rPr>
                <w:b/>
                <w:color w:val="FFFFFF"/>
                <w:sz w:val="18"/>
              </w:rPr>
              <w:t>Key deliverable</w:t>
            </w:r>
          </w:p>
        </w:tc>
        <w:tc>
          <w:tcPr>
            <w:tcW w:type="dxa" w:w="1882"/>
            <w:shd w:val="clear" w:color="auto" w:fill="0B3C5D"/>
          </w:tcPr>
          <w:p>
            <w:r/>
            <w:r>
              <w:rPr>
                <w:b/>
                <w:color w:val="FFFFFF"/>
                <w:sz w:val="18"/>
              </w:rPr>
              <w:t>Due</w:t>
            </w:r>
          </w:p>
        </w:tc>
      </w:tr>
      <w:tr>
        <w:tc>
          <w:tcPr>
            <w:tcW w:type="dxa" w:w="1882"/>
          </w:tcPr>
          <w:p>
            <w:r/>
            <w:r>
              <w:rPr>
                <w:sz w:val="18"/>
              </w:rPr>
              <w:t>1</w:t>
            </w:r>
          </w:p>
        </w:tc>
        <w:tc>
          <w:tcPr>
            <w:tcW w:type="dxa" w:w="1882"/>
          </w:tcPr>
          <w:p>
            <w:r/>
            <w:r>
              <w:rPr>
                <w:sz w:val="18"/>
              </w:rPr>
              <w:t>O&amp;M base at Port of Eastholm</w:t>
            </w:r>
          </w:p>
        </w:tc>
        <w:tc>
          <w:tcPr>
            <w:tcW w:type="dxa" w:w="1882"/>
          </w:tcPr>
          <w:p>
            <w:r/>
            <w:r>
              <w:rPr>
                <w:sz w:val="18"/>
              </w:rPr>
              <w:t>Ben Okoye</w:t>
            </w:r>
          </w:p>
        </w:tc>
        <w:tc>
          <w:tcPr>
            <w:tcW w:type="dxa" w:w="1882"/>
          </w:tcPr>
          <w:p>
            <w:r/>
            <w:r>
              <w:rPr>
                <w:sz w:val="18"/>
              </w:rPr>
              <w:t>Lease signed, building fit-out, pontoon</w:t>
            </w:r>
          </w:p>
        </w:tc>
        <w:tc>
          <w:tcPr>
            <w:tcW w:type="dxa" w:w="1882"/>
          </w:tcPr>
          <w:p>
            <w:r/>
            <w:r>
              <w:rPr>
                <w:sz w:val="18"/>
              </w:rPr>
              <w:t>Lease Q1 2027, ready Q3 2027</w:t>
            </w:r>
          </w:p>
        </w:tc>
      </w:tr>
      <w:tr>
        <w:tc>
          <w:tcPr>
            <w:tcW w:type="dxa" w:w="1882"/>
            <w:shd w:val="clear" w:color="auto" w:fill="EEF3F6"/>
          </w:tcPr>
          <w:p>
            <w:r/>
            <w:r>
              <w:rPr>
                <w:sz w:val="18"/>
              </w:rPr>
              <w:t>2</w:t>
            </w:r>
          </w:p>
        </w:tc>
        <w:tc>
          <w:tcPr>
            <w:tcW w:type="dxa" w:w="1882"/>
            <w:shd w:val="clear" w:color="auto" w:fill="EEF3F6"/>
          </w:tcPr>
          <w:p>
            <w:r/>
            <w:r>
              <w:rPr>
                <w:sz w:val="18"/>
              </w:rPr>
              <w:t>Organisation and recruitment</w:t>
            </w:r>
          </w:p>
        </w:tc>
        <w:tc>
          <w:tcPr>
            <w:tcW w:type="dxa" w:w="1882"/>
            <w:shd w:val="clear" w:color="auto" w:fill="EEF3F6"/>
          </w:tcPr>
          <w:p>
            <w:r/>
            <w:r>
              <w:rPr>
                <w:sz w:val="18"/>
              </w:rPr>
              <w:t>Julia Hoffmann / David Chen</w:t>
            </w:r>
          </w:p>
        </w:tc>
        <w:tc>
          <w:tcPr>
            <w:tcW w:type="dxa" w:w="1882"/>
            <w:shd w:val="clear" w:color="auto" w:fill="EEF3F6"/>
          </w:tcPr>
          <w:p>
            <w:r/>
            <w:r>
              <w:rPr>
                <w:sz w:val="18"/>
              </w:rPr>
              <w:t>32 FTE recruited and trained</w:t>
            </w:r>
          </w:p>
        </w:tc>
        <w:tc>
          <w:tcPr>
            <w:tcW w:type="dxa" w:w="1882"/>
            <w:shd w:val="clear" w:color="auto" w:fill="EEF3F6"/>
          </w:tcPr>
          <w:p>
            <w:r/>
            <w:r>
              <w:rPr>
                <w:sz w:val="18"/>
              </w:rPr>
              <w:t>Ramp-up Q2 2027 – Q2 2028</w:t>
            </w:r>
          </w:p>
        </w:tc>
      </w:tr>
      <w:tr>
        <w:tc>
          <w:tcPr>
            <w:tcW w:type="dxa" w:w="1882"/>
          </w:tcPr>
          <w:p>
            <w:r/>
            <w:r>
              <w:rPr>
                <w:sz w:val="18"/>
              </w:rPr>
              <w:t>3</w:t>
            </w:r>
          </w:p>
        </w:tc>
        <w:tc>
          <w:tcPr>
            <w:tcW w:type="dxa" w:w="1882"/>
          </w:tcPr>
          <w:p>
            <w:r/>
            <w:r>
              <w:rPr>
                <w:sz w:val="18"/>
              </w:rPr>
              <w:t>Vessels and marine coordination</w:t>
            </w:r>
          </w:p>
        </w:tc>
        <w:tc>
          <w:tcPr>
            <w:tcW w:type="dxa" w:w="1882"/>
          </w:tcPr>
          <w:p>
            <w:r/>
            <w:r>
              <w:rPr>
                <w:sz w:val="18"/>
              </w:rPr>
              <w:t>Ingrid Solberg</w:t>
            </w:r>
          </w:p>
        </w:tc>
        <w:tc>
          <w:tcPr>
            <w:tcW w:type="dxa" w:w="1882"/>
          </w:tcPr>
          <w:p>
            <w:r/>
            <w:r>
              <w:rPr>
                <w:sz w:val="18"/>
              </w:rPr>
              <w:t>CTV charter contracts, marine coordination procedures</w:t>
            </w:r>
          </w:p>
        </w:tc>
        <w:tc>
          <w:tcPr>
            <w:tcW w:type="dxa" w:w="1882"/>
          </w:tcPr>
          <w:p>
            <w:r/>
            <w:r>
              <w:rPr>
                <w:sz w:val="18"/>
              </w:rPr>
              <w:t>Q2 2027</w:t>
            </w:r>
          </w:p>
        </w:tc>
      </w:tr>
      <w:tr>
        <w:tc>
          <w:tcPr>
            <w:tcW w:type="dxa" w:w="1882"/>
            <w:shd w:val="clear" w:color="auto" w:fill="EEF3F6"/>
          </w:tcPr>
          <w:p>
            <w:r/>
            <w:r>
              <w:rPr>
                <w:sz w:val="18"/>
              </w:rPr>
              <w:t>4</w:t>
            </w:r>
          </w:p>
        </w:tc>
        <w:tc>
          <w:tcPr>
            <w:tcW w:type="dxa" w:w="1882"/>
            <w:shd w:val="clear" w:color="auto" w:fill="EEF3F6"/>
          </w:tcPr>
          <w:p>
            <w:r/>
            <w:r>
              <w:rPr>
                <w:sz w:val="18"/>
              </w:rPr>
              <w:t>Control room integration</w:t>
            </w:r>
          </w:p>
        </w:tc>
        <w:tc>
          <w:tcPr>
            <w:tcW w:type="dxa" w:w="1882"/>
            <w:shd w:val="clear" w:color="auto" w:fill="EEF3F6"/>
          </w:tcPr>
          <w:p>
            <w:r/>
            <w:r>
              <w:rPr>
                <w:sz w:val="18"/>
              </w:rPr>
              <w:t>Sara Lindgren / Katarzyna Nowak</w:t>
            </w:r>
          </w:p>
        </w:tc>
        <w:tc>
          <w:tcPr>
            <w:tcW w:type="dxa" w:w="1882"/>
            <w:shd w:val="clear" w:color="auto" w:fill="EEF3F6"/>
          </w:tcPr>
          <w:p>
            <w:r/>
            <w:r>
              <w:rPr>
                <w:sz w:val="18"/>
              </w:rPr>
              <w:t>SCADA link, alarm matrix, operator training</w:t>
            </w:r>
          </w:p>
        </w:tc>
        <w:tc>
          <w:tcPr>
            <w:tcW w:type="dxa" w:w="1882"/>
            <w:shd w:val="clear" w:color="auto" w:fill="EEF3F6"/>
          </w:tcPr>
          <w:p>
            <w:r/>
            <w:r>
              <w:rPr>
                <w:sz w:val="18"/>
              </w:rPr>
              <w:t>Q3 2027</w:t>
            </w:r>
          </w:p>
        </w:tc>
      </w:tr>
      <w:tr>
        <w:tc>
          <w:tcPr>
            <w:tcW w:type="dxa" w:w="1882"/>
          </w:tcPr>
          <w:p>
            <w:r/>
            <w:r>
              <w:rPr>
                <w:sz w:val="18"/>
              </w:rPr>
              <w:t>5</w:t>
            </w:r>
          </w:p>
        </w:tc>
        <w:tc>
          <w:tcPr>
            <w:tcW w:type="dxa" w:w="1882"/>
          </w:tcPr>
          <w:p>
            <w:r/>
            <w:r>
              <w:rPr>
                <w:sz w:val="18"/>
              </w:rPr>
              <w:t>Spare parts and warehouse</w:t>
            </w:r>
          </w:p>
        </w:tc>
        <w:tc>
          <w:tcPr>
            <w:tcW w:type="dxa" w:w="1882"/>
          </w:tcPr>
          <w:p>
            <w:r/>
            <w:r>
              <w:rPr>
                <w:sz w:val="18"/>
              </w:rPr>
              <w:t>Patrick Doyle</w:t>
            </w:r>
          </w:p>
        </w:tc>
        <w:tc>
          <w:tcPr>
            <w:tcW w:type="dxa" w:w="1882"/>
          </w:tcPr>
          <w:p>
            <w:r/>
            <w:r>
              <w:rPr>
                <w:sz w:val="18"/>
              </w:rPr>
              <w:t>Capital spares list (incl. spare export cable section, transformer bushings)</w:t>
            </w:r>
          </w:p>
        </w:tc>
        <w:tc>
          <w:tcPr>
            <w:tcW w:type="dxa" w:w="1882"/>
          </w:tcPr>
          <w:p>
            <w:r/>
            <w:r>
              <w:rPr>
                <w:sz w:val="18"/>
              </w:rPr>
              <w:t>Q4 2027</w:t>
            </w:r>
          </w:p>
        </w:tc>
      </w:tr>
      <w:tr>
        <w:tc>
          <w:tcPr>
            <w:tcW w:type="dxa" w:w="1882"/>
            <w:shd w:val="clear" w:color="auto" w:fill="EEF3F6"/>
          </w:tcPr>
          <w:p>
            <w:r/>
            <w:r>
              <w:rPr>
                <w:sz w:val="18"/>
              </w:rPr>
              <w:t>6</w:t>
            </w:r>
          </w:p>
        </w:tc>
        <w:tc>
          <w:tcPr>
            <w:tcW w:type="dxa" w:w="1882"/>
            <w:shd w:val="clear" w:color="auto" w:fill="EEF3F6"/>
          </w:tcPr>
          <w:p>
            <w:r/>
            <w:r>
              <w:rPr>
                <w:sz w:val="18"/>
              </w:rPr>
              <w:t>HSE and emergency response</w:t>
            </w:r>
          </w:p>
        </w:tc>
        <w:tc>
          <w:tcPr>
            <w:tcW w:type="dxa" w:w="1882"/>
            <w:shd w:val="clear" w:color="auto" w:fill="EEF3F6"/>
          </w:tcPr>
          <w:p>
            <w:r/>
            <w:r>
              <w:rPr>
                <w:sz w:val="18"/>
              </w:rPr>
              <w:t>Hannah Weber / Yusuf Demir</w:t>
            </w:r>
          </w:p>
        </w:tc>
        <w:tc>
          <w:tcPr>
            <w:tcW w:type="dxa" w:w="1882"/>
            <w:shd w:val="clear" w:color="auto" w:fill="EEF3F6"/>
          </w:tcPr>
          <w:p>
            <w:r/>
            <w:r>
              <w:rPr>
                <w:sz w:val="18"/>
              </w:rPr>
              <w:t>Offshore ERP for operations, GWO training, helicopter assessment</w:t>
            </w:r>
          </w:p>
        </w:tc>
        <w:tc>
          <w:tcPr>
            <w:tcW w:type="dxa" w:w="1882"/>
            <w:shd w:val="clear" w:color="auto" w:fill="EEF3F6"/>
          </w:tcPr>
          <w:p>
            <w:r/>
            <w:r>
              <w:rPr>
                <w:sz w:val="18"/>
              </w:rPr>
              <w:t>Q2 2027</w:t>
            </w:r>
          </w:p>
        </w:tc>
      </w:tr>
      <w:tr>
        <w:tc>
          <w:tcPr>
            <w:tcW w:type="dxa" w:w="1882"/>
          </w:tcPr>
          <w:p>
            <w:r/>
            <w:r>
              <w:rPr>
                <w:sz w:val="18"/>
              </w:rPr>
              <w:t>7</w:t>
            </w:r>
          </w:p>
        </w:tc>
        <w:tc>
          <w:tcPr>
            <w:tcW w:type="dxa" w:w="1882"/>
          </w:tcPr>
          <w:p>
            <w:r/>
            <w:r>
              <w:rPr>
                <w:sz w:val="18"/>
              </w:rPr>
              <w:t>Contracts</w:t>
            </w:r>
          </w:p>
        </w:tc>
        <w:tc>
          <w:tcPr>
            <w:tcW w:type="dxa" w:w="1882"/>
          </w:tcPr>
          <w:p>
            <w:r/>
            <w:r>
              <w:rPr>
                <w:sz w:val="18"/>
              </w:rPr>
              <w:t>Priya Nair</w:t>
            </w:r>
          </w:p>
        </w:tc>
        <w:tc>
          <w:tcPr>
            <w:tcW w:type="dxa" w:w="1882"/>
          </w:tcPr>
          <w:p>
            <w:r/>
            <w:r>
              <w:rPr>
                <w:sz w:val="18"/>
              </w:rPr>
              <w:t>BoP maintenance, cable repair framework, vessel charters</w:t>
            </w:r>
          </w:p>
        </w:tc>
        <w:tc>
          <w:tcPr>
            <w:tcW w:type="dxa" w:w="1882"/>
          </w:tcPr>
          <w:p>
            <w:r/>
            <w:r>
              <w:rPr>
                <w:sz w:val="18"/>
              </w:rPr>
              <w:t>Q2 2027</w:t>
            </w:r>
          </w:p>
        </w:tc>
      </w:tr>
      <w:tr>
        <w:tc>
          <w:tcPr>
            <w:tcW w:type="dxa" w:w="1882"/>
            <w:shd w:val="clear" w:color="auto" w:fill="EEF3F6"/>
          </w:tcPr>
          <w:p>
            <w:r/>
            <w:r>
              <w:rPr>
                <w:sz w:val="18"/>
              </w:rPr>
              <w:t>8</w:t>
            </w:r>
          </w:p>
        </w:tc>
        <w:tc>
          <w:tcPr>
            <w:tcW w:type="dxa" w:w="1882"/>
            <w:shd w:val="clear" w:color="auto" w:fill="EEF3F6"/>
          </w:tcPr>
          <w:p>
            <w:r/>
            <w:r>
              <w:rPr>
                <w:sz w:val="18"/>
              </w:rPr>
              <w:t>Handover from project</w:t>
            </w:r>
          </w:p>
        </w:tc>
        <w:tc>
          <w:tcPr>
            <w:tcW w:type="dxa" w:w="1882"/>
            <w:shd w:val="clear" w:color="auto" w:fill="EEF3F6"/>
          </w:tcPr>
          <w:p>
            <w:r/>
            <w:r>
              <w:rPr>
                <w:sz w:val="18"/>
              </w:rPr>
              <w:t>Elena Márquez / Felix Brandt</w:t>
            </w:r>
          </w:p>
        </w:tc>
        <w:tc>
          <w:tcPr>
            <w:tcW w:type="dxa" w:w="1882"/>
            <w:shd w:val="clear" w:color="auto" w:fill="EEF3F6"/>
          </w:tcPr>
          <w:p>
            <w:r/>
            <w:r>
              <w:rPr>
                <w:sz w:val="18"/>
              </w:rPr>
              <w:t>Handover dossier per system, punch lists, as-built documentation</w:t>
            </w:r>
          </w:p>
        </w:tc>
        <w:tc>
          <w:tcPr>
            <w:tcW w:type="dxa" w:w="1882"/>
            <w:shd w:val="clear" w:color="auto" w:fill="EEF3F6"/>
          </w:tcPr>
          <w:p>
            <w:r/>
            <w:r>
              <w:rPr>
                <w:sz w:val="18"/>
              </w:rPr>
              <w:t>rolling from first power</w:t>
            </w:r>
          </w:p>
        </w:tc>
      </w:tr>
    </w:tbl>
    <w:p/>
    <w:p>
      <w:pPr>
        <w:pStyle w:val="Heading1"/>
      </w:pPr>
      <w:r>
        <w:t>4. Staffing ramp-up</w:t>
      </w:r>
    </w:p>
    <w:p>
      <w:r>
        <w:t>The O&amp;M organisation grows from 4 FTE in 2026 (planning team) to 32 FTE at COD. Recruitment of offshore technicians starts in April 2027 so that the first team can shadow Halden during commissioning of the first turbines.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B3C5D"/>
          </w:tcPr>
          <w:p>
            <w:r/>
            <w:r>
              <w:rPr>
                <w:b/>
                <w:color w:val="FFFFFF"/>
                <w:sz w:val="18"/>
              </w:rPr>
              <w:t>Role</w:t>
            </w:r>
          </w:p>
        </w:tc>
        <w:tc>
          <w:tcPr>
            <w:tcW w:type="dxa" w:w="1882"/>
            <w:shd w:val="clear" w:color="auto" w:fill="0B3C5D"/>
          </w:tcPr>
          <w:p>
            <w:r/>
            <w:r>
              <w:rPr>
                <w:b/>
                <w:color w:val="FFFFFF"/>
                <w:sz w:val="18"/>
              </w:rPr>
              <w:t>Q4 2026</w:t>
            </w:r>
          </w:p>
        </w:tc>
        <w:tc>
          <w:tcPr>
            <w:tcW w:type="dxa" w:w="1882"/>
            <w:shd w:val="clear" w:color="auto" w:fill="0B3C5D"/>
          </w:tcPr>
          <w:p>
            <w:r/>
            <w:r>
              <w:rPr>
                <w:b/>
                <w:color w:val="FFFFFF"/>
                <w:sz w:val="18"/>
              </w:rPr>
              <w:t>Q2 2027</w:t>
            </w:r>
          </w:p>
        </w:tc>
        <w:tc>
          <w:tcPr>
            <w:tcW w:type="dxa" w:w="1882"/>
            <w:shd w:val="clear" w:color="auto" w:fill="0B3C5D"/>
          </w:tcPr>
          <w:p>
            <w:r/>
            <w:r>
              <w:rPr>
                <w:b/>
                <w:color w:val="FFFFFF"/>
                <w:sz w:val="18"/>
              </w:rPr>
              <w:t>Q4 2027</w:t>
            </w:r>
          </w:p>
        </w:tc>
        <w:tc>
          <w:tcPr>
            <w:tcW w:type="dxa" w:w="1882"/>
            <w:shd w:val="clear" w:color="auto" w:fill="0B3C5D"/>
          </w:tcPr>
          <w:p>
            <w:r/>
            <w:r>
              <w:rPr>
                <w:b/>
                <w:color w:val="FFFFFF"/>
                <w:sz w:val="18"/>
              </w:rPr>
              <w:t>Q2 2028 (COD)</w:t>
            </w:r>
          </w:p>
        </w:tc>
      </w:tr>
      <w:tr>
        <w:tc>
          <w:tcPr>
            <w:tcW w:type="dxa" w:w="1882"/>
          </w:tcPr>
          <w:p>
            <w:r/>
            <w:r>
              <w:rPr>
                <w:sz w:val="18"/>
              </w:rPr>
              <w:t>Site / O&amp;M manager</w:t>
            </w:r>
          </w:p>
        </w:tc>
        <w:tc>
          <w:tcPr>
            <w:tcW w:type="dxa" w:w="1882"/>
          </w:tcPr>
          <w:p>
            <w:r/>
            <w:r>
              <w:rPr>
                <w:sz w:val="18"/>
              </w:rPr>
              <w:t>1</w:t>
            </w:r>
          </w:p>
        </w:tc>
        <w:tc>
          <w:tcPr>
            <w:tcW w:type="dxa" w:w="1882"/>
          </w:tcPr>
          <w:p>
            <w:r/>
            <w:r>
              <w:rPr>
                <w:sz w:val="18"/>
              </w:rPr>
              <w:t>1</w:t>
            </w:r>
          </w:p>
        </w:tc>
        <w:tc>
          <w:tcPr>
            <w:tcW w:type="dxa" w:w="1882"/>
          </w:tcPr>
          <w:p>
            <w:r/>
            <w:r>
              <w:rPr>
                <w:sz w:val="18"/>
              </w:rPr>
              <w:t>1</w:t>
            </w:r>
          </w:p>
        </w:tc>
        <w:tc>
          <w:tcPr>
            <w:tcW w:type="dxa" w:w="1882"/>
          </w:tcPr>
          <w:p>
            <w:r/>
            <w:r>
              <w:rPr>
                <w:sz w:val="18"/>
              </w:rPr>
              <w:t>1</w:t>
            </w:r>
          </w:p>
        </w:tc>
      </w:tr>
      <w:tr>
        <w:tc>
          <w:tcPr>
            <w:tcW w:type="dxa" w:w="1882"/>
            <w:shd w:val="clear" w:color="auto" w:fill="EEF3F6"/>
          </w:tcPr>
          <w:p>
            <w:r/>
            <w:r>
              <w:rPr>
                <w:sz w:val="18"/>
              </w:rPr>
              <w:t>Marine coordinators</w:t>
            </w:r>
          </w:p>
        </w:tc>
        <w:tc>
          <w:tcPr>
            <w:tcW w:type="dxa" w:w="1882"/>
            <w:shd w:val="clear" w:color="auto" w:fill="EEF3F6"/>
          </w:tcPr>
          <w:p>
            <w:r/>
            <w:r>
              <w:rPr>
                <w:sz w:val="18"/>
              </w:rPr>
              <w:t>0</w:t>
            </w:r>
          </w:p>
        </w:tc>
        <w:tc>
          <w:tcPr>
            <w:tcW w:type="dxa" w:w="1882"/>
            <w:shd w:val="clear" w:color="auto" w:fill="EEF3F6"/>
          </w:tcPr>
          <w:p>
            <w:r/>
            <w:r>
              <w:rPr>
                <w:sz w:val="18"/>
              </w:rPr>
              <w:t>2</w:t>
            </w:r>
          </w:p>
        </w:tc>
        <w:tc>
          <w:tcPr>
            <w:tcW w:type="dxa" w:w="1882"/>
            <w:shd w:val="clear" w:color="auto" w:fill="EEF3F6"/>
          </w:tcPr>
          <w:p>
            <w:r/>
            <w:r>
              <w:rPr>
                <w:sz w:val="18"/>
              </w:rPr>
              <w:t>4</w:t>
            </w:r>
          </w:p>
        </w:tc>
        <w:tc>
          <w:tcPr>
            <w:tcW w:type="dxa" w:w="1882"/>
            <w:shd w:val="clear" w:color="auto" w:fill="EEF3F6"/>
          </w:tcPr>
          <w:p>
            <w:r/>
            <w:r>
              <w:rPr>
                <w:sz w:val="18"/>
              </w:rPr>
              <w:t>5</w:t>
            </w:r>
          </w:p>
        </w:tc>
      </w:tr>
      <w:tr>
        <w:tc>
          <w:tcPr>
            <w:tcW w:type="dxa" w:w="1882"/>
          </w:tcPr>
          <w:p>
            <w:r/>
            <w:r>
              <w:rPr>
                <w:sz w:val="18"/>
              </w:rPr>
              <w:t>BoP / HV technicians</w:t>
            </w:r>
          </w:p>
        </w:tc>
        <w:tc>
          <w:tcPr>
            <w:tcW w:type="dxa" w:w="1882"/>
          </w:tcPr>
          <w:p>
            <w:r/>
            <w:r>
              <w:rPr>
                <w:sz w:val="18"/>
              </w:rPr>
              <w:t>0</w:t>
            </w:r>
          </w:p>
        </w:tc>
        <w:tc>
          <w:tcPr>
            <w:tcW w:type="dxa" w:w="1882"/>
          </w:tcPr>
          <w:p>
            <w:r/>
            <w:r>
              <w:rPr>
                <w:sz w:val="18"/>
              </w:rPr>
              <w:t>2</w:t>
            </w:r>
          </w:p>
        </w:tc>
        <w:tc>
          <w:tcPr>
            <w:tcW w:type="dxa" w:w="1882"/>
          </w:tcPr>
          <w:p>
            <w:r/>
            <w:r>
              <w:rPr>
                <w:sz w:val="18"/>
              </w:rPr>
              <w:t>6</w:t>
            </w:r>
          </w:p>
        </w:tc>
        <w:tc>
          <w:tcPr>
            <w:tcW w:type="dxa" w:w="1882"/>
          </w:tcPr>
          <w:p>
            <w:r/>
            <w:r>
              <w:rPr>
                <w:sz w:val="18"/>
              </w:rPr>
              <w:t>10</w:t>
            </w:r>
          </w:p>
        </w:tc>
      </w:tr>
      <w:tr>
        <w:tc>
          <w:tcPr>
            <w:tcW w:type="dxa" w:w="1882"/>
            <w:shd w:val="clear" w:color="auto" w:fill="EEF3F6"/>
          </w:tcPr>
          <w:p>
            <w:r/>
            <w:r>
              <w:rPr>
                <w:sz w:val="18"/>
              </w:rPr>
              <w:t>Control room operators (additional)</w:t>
            </w:r>
          </w:p>
        </w:tc>
        <w:tc>
          <w:tcPr>
            <w:tcW w:type="dxa" w:w="1882"/>
            <w:shd w:val="clear" w:color="auto" w:fill="EEF3F6"/>
          </w:tcPr>
          <w:p>
            <w:r/>
            <w:r>
              <w:rPr>
                <w:sz w:val="18"/>
              </w:rPr>
              <w:t>0</w:t>
            </w:r>
          </w:p>
        </w:tc>
        <w:tc>
          <w:tcPr>
            <w:tcW w:type="dxa" w:w="1882"/>
            <w:shd w:val="clear" w:color="auto" w:fill="EEF3F6"/>
          </w:tcPr>
          <w:p>
            <w:r/>
            <w:r>
              <w:rPr>
                <w:sz w:val="18"/>
              </w:rPr>
              <w:t>0</w:t>
            </w:r>
          </w:p>
        </w:tc>
        <w:tc>
          <w:tcPr>
            <w:tcW w:type="dxa" w:w="1882"/>
            <w:shd w:val="clear" w:color="auto" w:fill="EEF3F6"/>
          </w:tcPr>
          <w:p>
            <w:r/>
            <w:r>
              <w:rPr>
                <w:sz w:val="18"/>
              </w:rPr>
              <w:t>2</w:t>
            </w:r>
          </w:p>
        </w:tc>
        <w:tc>
          <w:tcPr>
            <w:tcW w:type="dxa" w:w="1882"/>
            <w:shd w:val="clear" w:color="auto" w:fill="EEF3F6"/>
          </w:tcPr>
          <w:p>
            <w:r/>
            <w:r>
              <w:rPr>
                <w:sz w:val="18"/>
              </w:rPr>
              <w:t>4</w:t>
            </w:r>
          </w:p>
        </w:tc>
      </w:tr>
      <w:tr>
        <w:tc>
          <w:tcPr>
            <w:tcW w:type="dxa" w:w="1882"/>
          </w:tcPr>
          <w:p>
            <w:r/>
            <w:r>
              <w:rPr>
                <w:sz w:val="18"/>
              </w:rPr>
              <w:t>Planning, performance, admin</w:t>
            </w:r>
          </w:p>
        </w:tc>
        <w:tc>
          <w:tcPr>
            <w:tcW w:type="dxa" w:w="1882"/>
          </w:tcPr>
          <w:p>
            <w:r/>
            <w:r>
              <w:rPr>
                <w:sz w:val="18"/>
              </w:rPr>
              <w:t>3</w:t>
            </w:r>
          </w:p>
        </w:tc>
        <w:tc>
          <w:tcPr>
            <w:tcW w:type="dxa" w:w="1882"/>
          </w:tcPr>
          <w:p>
            <w:r/>
            <w:r>
              <w:rPr>
                <w:sz w:val="18"/>
              </w:rPr>
              <w:t>4</w:t>
            </w:r>
          </w:p>
        </w:tc>
        <w:tc>
          <w:tcPr>
            <w:tcW w:type="dxa" w:w="1882"/>
          </w:tcPr>
          <w:p>
            <w:r/>
            <w:r>
              <w:rPr>
                <w:sz w:val="18"/>
              </w:rPr>
              <w:t>6</w:t>
            </w:r>
          </w:p>
        </w:tc>
        <w:tc>
          <w:tcPr>
            <w:tcW w:type="dxa" w:w="1882"/>
          </w:tcPr>
          <w:p>
            <w:r/>
            <w:r>
              <w:rPr>
                <w:sz w:val="18"/>
              </w:rPr>
              <w:t>7</w:t>
            </w:r>
          </w:p>
        </w:tc>
      </w:tr>
      <w:tr>
        <w:tc>
          <w:tcPr>
            <w:tcW w:type="dxa" w:w="1882"/>
            <w:shd w:val="clear" w:color="auto" w:fill="EEF3F6"/>
          </w:tcPr>
          <w:p>
            <w:r/>
            <w:r>
              <w:rPr>
                <w:sz w:val="18"/>
              </w:rPr>
              <w:t>HSE advisors</w:t>
            </w:r>
          </w:p>
        </w:tc>
        <w:tc>
          <w:tcPr>
            <w:tcW w:type="dxa" w:w="1882"/>
            <w:shd w:val="clear" w:color="auto" w:fill="EEF3F6"/>
          </w:tcPr>
          <w:p>
            <w:r/>
            <w:r>
              <w:rPr>
                <w:sz w:val="18"/>
              </w:rPr>
              <w:t>0</w:t>
            </w:r>
          </w:p>
        </w:tc>
        <w:tc>
          <w:tcPr>
            <w:tcW w:type="dxa" w:w="1882"/>
            <w:shd w:val="clear" w:color="auto" w:fill="EEF3F6"/>
          </w:tcPr>
          <w:p>
            <w:r/>
            <w:r>
              <w:rPr>
                <w:sz w:val="18"/>
              </w:rPr>
              <w:t>1</w:t>
            </w:r>
          </w:p>
        </w:tc>
        <w:tc>
          <w:tcPr>
            <w:tcW w:type="dxa" w:w="1882"/>
            <w:shd w:val="clear" w:color="auto" w:fill="EEF3F6"/>
          </w:tcPr>
          <w:p>
            <w:r/>
            <w:r>
              <w:rPr>
                <w:sz w:val="18"/>
              </w:rPr>
              <w:t>2</w:t>
            </w:r>
          </w:p>
        </w:tc>
        <w:tc>
          <w:tcPr>
            <w:tcW w:type="dxa" w:w="1882"/>
            <w:shd w:val="clear" w:color="auto" w:fill="EEF3F6"/>
          </w:tcPr>
          <w:p>
            <w:r/>
            <w:r>
              <w:rPr>
                <w:sz w:val="18"/>
              </w:rPr>
              <w:t>2</w:t>
            </w:r>
          </w:p>
        </w:tc>
      </w:tr>
      <w:tr>
        <w:tc>
          <w:tcPr>
            <w:tcW w:type="dxa" w:w="1882"/>
          </w:tcPr>
          <w:p>
            <w:r/>
            <w:r>
              <w:rPr>
                <w:sz w:val="18"/>
              </w:rPr>
              <w:t>Warehouse / logistics</w:t>
            </w:r>
          </w:p>
        </w:tc>
        <w:tc>
          <w:tcPr>
            <w:tcW w:type="dxa" w:w="1882"/>
          </w:tcPr>
          <w:p>
            <w:r/>
            <w:r>
              <w:rPr>
                <w:sz w:val="18"/>
              </w:rPr>
              <w:t>0</w:t>
            </w:r>
          </w:p>
        </w:tc>
        <w:tc>
          <w:tcPr>
            <w:tcW w:type="dxa" w:w="1882"/>
          </w:tcPr>
          <w:p>
            <w:r/>
            <w:r>
              <w:rPr>
                <w:sz w:val="18"/>
              </w:rPr>
              <w:t>0</w:t>
            </w:r>
          </w:p>
        </w:tc>
        <w:tc>
          <w:tcPr>
            <w:tcW w:type="dxa" w:w="1882"/>
          </w:tcPr>
          <w:p>
            <w:r/>
            <w:r>
              <w:rPr>
                <w:sz w:val="18"/>
              </w:rPr>
              <w:t>2</w:t>
            </w:r>
          </w:p>
        </w:tc>
        <w:tc>
          <w:tcPr>
            <w:tcW w:type="dxa" w:w="1882"/>
          </w:tcPr>
          <w:p>
            <w:r/>
            <w:r>
              <w:rPr>
                <w:sz w:val="18"/>
              </w:rPr>
              <w:t>3</w:t>
            </w:r>
          </w:p>
        </w:tc>
      </w:tr>
      <w:tr>
        <w:tc>
          <w:tcPr>
            <w:tcW w:type="dxa" w:w="1882"/>
            <w:shd w:val="clear" w:color="auto" w:fill="EEF3F6"/>
          </w:tcPr>
          <w:p>
            <w:r/>
            <w:r>
              <w:rPr>
                <w:b/>
                <w:sz w:val="18"/>
              </w:rPr>
              <w:t>Total</w:t>
            </w:r>
          </w:p>
        </w:tc>
        <w:tc>
          <w:tcPr>
            <w:tcW w:type="dxa" w:w="1882"/>
            <w:shd w:val="clear" w:color="auto" w:fill="EEF3F6"/>
          </w:tcPr>
          <w:p>
            <w:r/>
            <w:r>
              <w:rPr>
                <w:b/>
                <w:sz w:val="18"/>
              </w:rPr>
              <w:t>4</w:t>
            </w:r>
          </w:p>
        </w:tc>
        <w:tc>
          <w:tcPr>
            <w:tcW w:type="dxa" w:w="1882"/>
            <w:shd w:val="clear" w:color="auto" w:fill="EEF3F6"/>
          </w:tcPr>
          <w:p>
            <w:r/>
            <w:r>
              <w:rPr>
                <w:b/>
                <w:sz w:val="18"/>
              </w:rPr>
              <w:t>10</w:t>
            </w:r>
          </w:p>
        </w:tc>
        <w:tc>
          <w:tcPr>
            <w:tcW w:type="dxa" w:w="1882"/>
            <w:shd w:val="clear" w:color="auto" w:fill="EEF3F6"/>
          </w:tcPr>
          <w:p>
            <w:r/>
            <w:r>
              <w:rPr>
                <w:b/>
                <w:sz w:val="18"/>
              </w:rPr>
              <w:t>23</w:t>
            </w:r>
          </w:p>
        </w:tc>
        <w:tc>
          <w:tcPr>
            <w:tcW w:type="dxa" w:w="1882"/>
            <w:shd w:val="clear" w:color="auto" w:fill="EEF3F6"/>
          </w:tcPr>
          <w:p>
            <w:r/>
            <w:r>
              <w:rPr>
                <w:b/>
                <w:sz w:val="18"/>
              </w:rPr>
              <w:t>32</w:t>
            </w:r>
          </w:p>
        </w:tc>
      </w:tr>
    </w:tbl>
    <w:p/>
    <w:p>
      <w:pPr>
        <w:pStyle w:val="Heading1"/>
      </w:pPr>
      <w:r>
        <w:t>5. Budget</w:t>
      </w:r>
    </w:p>
    <w:p>
      <w:r>
        <w:t>The steady-state operating budget for Harrow Bay is estimated at EUR 41 m per year (2028 prices), of which turbine service is about 45 %, vessels 18 %, BoP maintenance 9 %, staff 8 %, insurance 12 % and other costs 8 %. Pre-COD readiness costs of EUR 6.8 m are included in the project budget.</w:t>
      </w:r>
    </w:p>
    <w:p>
      <w:pPr>
        <w:pStyle w:val="Heading1"/>
      </w:pPr>
      <w:r>
        <w:t>6. Interfaces with the construction schedule</w:t>
      </w:r>
    </w:p>
    <w:p>
      <w:pPr>
        <w:pStyle w:val="ListBullet"/>
      </w:pPr>
      <w:r>
        <w:t>First turbine installation is planned for 1 March 2027 and first power for 30 September 2027; the O&amp;M base must be usable by then.</w:t>
      </w:r>
    </w:p>
    <w:p>
      <w:pPr>
        <w:pStyle w:val="ListBullet"/>
      </w:pPr>
      <w:r>
        <w:t>HB-RISK-017 (8-week delay of export cable 2) may shift the energisation sequence. Readiness planning assumes energisation via export cable 1 first; no change to the O&amp;M base dates is needed.</w:t>
      </w:r>
    </w:p>
    <w:p>
      <w:pPr>
        <w:pStyle w:val="ListBullet"/>
      </w:pPr>
      <w:r>
        <w:t>Lessons from Kestrel Ridge (T-07 gearbox) are built into the HTS-12 CMS set-up: Weyland-owned thresholds and data access from day one are a requirement in the handover criteria.</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Harrow Bay O&amp;M Readiness Plan  ·  HB-OPS-PLN-0001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Harrow Bay O&amp;M Readiness Plan</dc:title>
  <dc:subject>From first power 2027 to COD 2028</dc:subject>
  <dc:creator>Elena Márquez</dc:creator>
  <cp:keywords>in review</cp:keywords>
  <dc:description>generated by python-docx</dc:description>
  <cp:lastModifiedBy>Elena Márquez</cp:lastModifiedBy>
  <cp:revision>1</cp:revision>
  <dcterms:created xsi:type="dcterms:W3CDTF">2026-03-09T10:00:00Z</dcterms:created>
  <dcterms:modified xsi:type="dcterms:W3CDTF">2026-07-02T10:00:00Z</dcterms:modified>
  <cp:category/>
</cp:coreProperties>
</file>