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Fleet Maintenance Strategy 2026–2030</w:t>
      </w:r>
    </w:p>
    <w:p>
      <w:r>
        <w:rPr>
          <w:color w:val="1FA2A6"/>
          <w:sz w:val="25"/>
        </w:rPr>
        <w:t>Asset Operations</w:t>
      </w:r>
    </w:p>
    <w:p>
      <w:pPr>
        <w:pBdr>
          <w:bottom w:val="single" w:sz="12" w:space="6" w:color="1FA2A6"/>
        </w:pBdr>
      </w:pPr>
      <w:r>
        <w:rPr>
          <w:color w:val="4A5A68"/>
          <w:sz w:val="18"/>
        </w:rPr>
        <w:t>David Chen  ·  20 March 2026  ·  OPS-STR-0002</w:t>
      </w:r>
    </w:p>
    <w:p>
      <w:pPr>
        <w:pStyle w:val="Heading1"/>
      </w:pPr>
      <w:r>
        <w:t>1. Purpose</w:t>
      </w:r>
    </w:p>
    <w:p>
      <w:r>
        <w:t>This strategy sets out how Weyland maintains its operating fleet of 13 assets (1,100 MW of onshore wind and solar PV in the UK, Germany and Denmark) between 2026 and 2030, and how we prepare for Harrow Bay Offshore Wind (480 MW, COD planned 30 June 2028). It replaces the 2023 strategy and takes into account the lessons from the Kestrel Ridge T-07 gearbox failure.</w:t>
      </w:r>
    </w:p>
    <w:p>
      <w:pPr>
        <w:pStyle w:val="Heading1"/>
      </w:pPr>
      <w:r>
        <w:t>2. Principles</w:t>
      </w:r>
    </w:p>
    <w:p>
      <w:pPr>
        <w:pStyle w:val="ListBullet"/>
      </w:pPr>
      <w:r>
        <w:rPr>
          <w:b/>
        </w:rPr>
        <w:t>Safety first</w:t>
      </w:r>
      <w:r>
        <w:t xml:space="preserve"> – no maintenance task is so urgent that it cannot be done safely.</w:t>
      </w:r>
    </w:p>
    <w:p>
      <w:pPr>
        <w:pStyle w:val="ListBullet"/>
      </w:pPr>
      <w:r>
        <w:rPr>
          <w:b/>
        </w:rPr>
        <w:t>Condition-based where it pays</w:t>
      </w:r>
      <w:r>
        <w:t xml:space="preserve"> – drive trains, blades, transformers and inverters are maintained on condition; everything else on fixed intervals.</w:t>
      </w:r>
    </w:p>
    <w:p>
      <w:pPr>
        <w:pStyle w:val="ListBullet"/>
      </w:pPr>
      <w:r>
        <w:rPr>
          <w:b/>
        </w:rPr>
        <w:t>Own the data</w:t>
      </w:r>
      <w:r>
        <w:t xml:space="preserve"> – SCADA, CMS and oil analysis data belong to Weyland, regardless of the service contract.</w:t>
      </w:r>
    </w:p>
    <w:p>
      <w:pPr>
        <w:pStyle w:val="ListBullet"/>
      </w:pPr>
      <w:r>
        <w:rPr>
          <w:b/>
        </w:rPr>
        <w:t>Right contract model for the asset age</w:t>
      </w:r>
      <w:r>
        <w:t xml:space="preserve"> – full service during warranty, then a deliberate choice between OEM, ISP and self-perform.</w:t>
      </w:r>
    </w:p>
    <w:p>
      <w:pPr>
        <w:pStyle w:val="ListBullet"/>
      </w:pPr>
      <w:r>
        <w:rPr>
          <w:b/>
        </w:rPr>
        <w:t>Fleet learning</w:t>
      </w:r>
      <w:r>
        <w:t xml:space="preserve"> – every major failure triggers a fleet-wide check within 30 days.</w:t>
      </w:r>
    </w:p>
    <w:p>
      <w:pPr>
        <w:pStyle w:val="Heading1"/>
      </w:pPr>
      <w:r>
        <w:t>3. Contract models by asset</w:t>
      </w:r>
    </w:p>
    <w:p>
      <w:r>
        <w:t>Sections 4–7 to follow after the T-07 root cause analysis.</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Fleet Maintenance Strategy 2026–2030  ·  OPS-STR-0002</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Fleet Maintenance Strategy 2026–2030</dc:title>
  <dc:subject>Asset Operations</dc:subject>
  <dc:creator>David Chen</dc:creator>
  <cp:keywords>approved</cp:keywords>
  <dc:description>generated by python-docx</dc:description>
  <cp:lastModifiedBy>David Chen</cp:lastModifiedBy>
  <cp:revision>1</cp:revision>
  <dcterms:created xsi:type="dcterms:W3CDTF">2026-02-16T10:00:00Z</dcterms:created>
  <dcterms:modified xsi:type="dcterms:W3CDTF">2026-03-20T10:00:00Z</dcterms:modified>
  <cp:category/>
</cp:coreProperties>
</file>